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C69ED" w14:textId="261886AB" w:rsidR="00B871CC" w:rsidRPr="00420097" w:rsidRDefault="006B0294" w:rsidP="00420097">
      <w:pPr>
        <w:spacing w:after="0"/>
        <w:ind w:right="142"/>
        <w:jc w:val="both"/>
        <w:rPr>
          <w:rFonts w:ascii="Arial" w:hAnsi="Arial" w:cs="Arial"/>
          <w:b/>
        </w:rPr>
      </w:pPr>
      <w:r w:rsidRPr="00420097">
        <w:rPr>
          <w:rFonts w:ascii="Arial" w:hAnsi="Arial" w:cs="Arial"/>
          <w:b/>
          <w:noProof/>
          <w:lang w:eastAsia="de-DE"/>
        </w:rPr>
        <w:drawing>
          <wp:anchor distT="0" distB="0" distL="114300" distR="114300" simplePos="0" relativeHeight="251661312" behindDoc="0" locked="0" layoutInCell="1" allowOverlap="1" wp14:anchorId="636AE299" wp14:editId="1683F009">
            <wp:simplePos x="0" y="0"/>
            <wp:positionH relativeFrom="margin">
              <wp:posOffset>3767455</wp:posOffset>
            </wp:positionH>
            <wp:positionV relativeFrom="margin">
              <wp:posOffset>-359410</wp:posOffset>
            </wp:positionV>
            <wp:extent cx="2496185" cy="795020"/>
            <wp:effectExtent l="0" t="0" r="0" b="0"/>
            <wp:wrapSquare wrapText="bothSides"/>
            <wp:docPr id="2" name="Grafik 1" descr="BVDM_LOGO_2016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DM_LOGO_2016_RGB.png"/>
                    <pic:cNvPicPr/>
                  </pic:nvPicPr>
                  <pic:blipFill>
                    <a:blip r:embed="rId8" cstate="print"/>
                    <a:stretch>
                      <a:fillRect/>
                    </a:stretch>
                  </pic:blipFill>
                  <pic:spPr>
                    <a:xfrm>
                      <a:off x="0" y="0"/>
                      <a:ext cx="2496185" cy="795020"/>
                    </a:xfrm>
                    <a:prstGeom prst="rect">
                      <a:avLst/>
                    </a:prstGeom>
                  </pic:spPr>
                </pic:pic>
              </a:graphicData>
            </a:graphic>
          </wp:anchor>
        </w:drawing>
      </w:r>
      <w:r w:rsidR="00633966" w:rsidRPr="00420097">
        <w:rPr>
          <w:rFonts w:ascii="Arial" w:hAnsi="Arial" w:cs="Arial"/>
          <w:b/>
          <w:noProof/>
          <w:lang w:eastAsia="de-DE"/>
        </w:rPr>
        <mc:AlternateContent>
          <mc:Choice Requires="wps">
            <w:drawing>
              <wp:anchor distT="0" distB="0" distL="114300" distR="114300" simplePos="0" relativeHeight="251660288" behindDoc="0" locked="0" layoutInCell="1" allowOverlap="1" wp14:anchorId="5E9C44B0" wp14:editId="2741E5C5">
                <wp:simplePos x="0" y="0"/>
                <wp:positionH relativeFrom="column">
                  <wp:posOffset>4311650</wp:posOffset>
                </wp:positionH>
                <wp:positionV relativeFrom="paragraph">
                  <wp:posOffset>418465</wp:posOffset>
                </wp:positionV>
                <wp:extent cx="2040255" cy="85661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856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B728" w14:textId="77777777" w:rsidR="00833A6D" w:rsidRDefault="00833A6D"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r w:rsidR="003F3B83">
                              <w:rPr>
                                <w:rFonts w:ascii="MiloOT-Medi" w:hAnsi="MiloOT-Medi" w:cs="Arial"/>
                                <w:color w:val="002B5D"/>
                                <w:sz w:val="16"/>
                                <w:szCs w:val="16"/>
                              </w:rPr>
                              <w:t xml:space="preserve">, </w:t>
                            </w:r>
                            <w:r>
                              <w:rPr>
                                <w:rFonts w:ascii="MiloOT-Medi" w:hAnsi="MiloOT-Medi" w:cs="Arial"/>
                                <w:color w:val="002B5D"/>
                                <w:sz w:val="16"/>
                                <w:szCs w:val="16"/>
                              </w:rPr>
                              <w:t>50931 Köln</w:t>
                            </w:r>
                          </w:p>
                          <w:p w14:paraId="615328BC"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14:paraId="4E4E9EC5" w14:textId="77777777" w:rsidR="00833A6D" w:rsidRPr="00C321BF" w:rsidRDefault="00833A6D" w:rsidP="00C53B6B">
                            <w:pPr>
                              <w:spacing w:after="0" w:line="240" w:lineRule="auto"/>
                              <w:rPr>
                                <w:rFonts w:ascii="MiloOT-Medi" w:hAnsi="MiloOT-Medi" w:cs="Arial"/>
                                <w:color w:val="002B5D"/>
                                <w:sz w:val="16"/>
                                <w:szCs w:val="16"/>
                              </w:rPr>
                            </w:pPr>
                          </w:p>
                          <w:p w14:paraId="392DD524"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www.</w:t>
                            </w:r>
                            <w:r w:rsidR="00277A26">
                              <w:rPr>
                                <w:rFonts w:ascii="MiloOT-Medi" w:hAnsi="MiloOT-Medi" w:cs="Arial"/>
                                <w:color w:val="002B5D"/>
                                <w:sz w:val="16"/>
                                <w:szCs w:val="16"/>
                              </w:rPr>
                              <w:t>hwb.online</w:t>
                            </w:r>
                          </w:p>
                          <w:p w14:paraId="2E569D4C" w14:textId="77777777" w:rsidR="00833A6D" w:rsidRPr="00DC37F2" w:rsidRDefault="00833A6D" w:rsidP="00C53B6B">
                            <w:pPr>
                              <w:spacing w:after="0" w:line="240" w:lineRule="auto"/>
                              <w:rPr>
                                <w:rFonts w:ascii="MiloOT-Medi" w:hAnsi="MiloOT-Medi" w:cs="Arial"/>
                                <w:color w:val="002B5D"/>
                                <w:sz w:val="16"/>
                                <w:szCs w:val="16"/>
                              </w:rPr>
                            </w:pPr>
                            <w:r w:rsidRPr="00DC37F2">
                              <w:rPr>
                                <w:rFonts w:ascii="MiloOT-Medi" w:hAnsi="MiloOT-Medi" w:cs="Arial"/>
                                <w:color w:val="002B5D"/>
                                <w:sz w:val="16"/>
                                <w:szCs w:val="16"/>
                              </w:rPr>
                              <w:t>bvdm@</w:t>
                            </w:r>
                            <w:r w:rsidR="00277A26" w:rsidRPr="00DC37F2">
                              <w:rPr>
                                <w:rFonts w:ascii="MiloOT-Medi" w:hAnsi="MiloOT-Medi" w:cs="Arial"/>
                                <w:color w:val="002B5D"/>
                                <w:sz w:val="16"/>
                                <w:szCs w:val="16"/>
                              </w:rPr>
                              <w:t>hwb.online</w:t>
                            </w:r>
                          </w:p>
                          <w:p w14:paraId="4BDD3092" w14:textId="77777777" w:rsidR="00833A6D" w:rsidRPr="00DC37F2" w:rsidRDefault="00833A6D" w:rsidP="00C53B6B">
                            <w:pPr>
                              <w:spacing w:after="0" w:line="240" w:lineRule="auto"/>
                              <w:rPr>
                                <w:rFonts w:ascii="Arial" w:hAnsi="Arial" w:cs="Arial"/>
                                <w:color w:val="002B5D"/>
                                <w:sz w:val="21"/>
                                <w:szCs w:val="2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9C44B0" id="_x0000_t202" coordsize="21600,21600" o:spt="202" path="m,l,21600r21600,l21600,xe">
                <v:stroke joinstyle="miter"/>
                <v:path gradientshapeok="t" o:connecttype="rect"/>
              </v:shapetype>
              <v:shape id="Text Box 3" o:spid="_x0000_s1026" type="#_x0000_t202" style="position:absolute;left:0;text-align:left;margin-left:339.5pt;margin-top:32.95pt;width:160.65pt;height:67.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" stroked="f">
                <v:textbox style="mso-fit-shape-to-text:t">
                  <w:txbxContent>
                    <w:p w14:paraId="00E4B728" w14:textId="77777777" w:rsidR="00833A6D" w:rsidRDefault="00833A6D" w:rsidP="00C53B6B">
                      <w:pPr>
                        <w:spacing w:after="0" w:line="240" w:lineRule="auto"/>
                        <w:rPr>
                          <w:rFonts w:ascii="MiloOT-Medi" w:hAnsi="MiloOT-Medi" w:cs="Arial"/>
                          <w:color w:val="002B5D"/>
                          <w:sz w:val="16"/>
                          <w:szCs w:val="16"/>
                        </w:rPr>
                      </w:pPr>
                      <w:r>
                        <w:rPr>
                          <w:rFonts w:ascii="MiloOT-Medi" w:hAnsi="MiloOT-Medi" w:cs="Arial"/>
                          <w:color w:val="002B5D"/>
                          <w:sz w:val="16"/>
                          <w:szCs w:val="16"/>
                        </w:rPr>
                        <w:t>Frangenheimstr. 6</w:t>
                      </w:r>
                      <w:r w:rsidR="003F3B83">
                        <w:rPr>
                          <w:rFonts w:ascii="MiloOT-Medi" w:hAnsi="MiloOT-Medi" w:cs="Arial"/>
                          <w:color w:val="002B5D"/>
                          <w:sz w:val="16"/>
                          <w:szCs w:val="16"/>
                        </w:rPr>
                        <w:t xml:space="preserve">, </w:t>
                      </w:r>
                      <w:r>
                        <w:rPr>
                          <w:rFonts w:ascii="MiloOT-Medi" w:hAnsi="MiloOT-Medi" w:cs="Arial"/>
                          <w:color w:val="002B5D"/>
                          <w:sz w:val="16"/>
                          <w:szCs w:val="16"/>
                        </w:rPr>
                        <w:t>50931 Köln</w:t>
                      </w:r>
                    </w:p>
                    <w:p w14:paraId="615328BC"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Tel.: 0221/940 83-50</w:t>
                      </w:r>
                    </w:p>
                    <w:p w14:paraId="4E4E9EC5" w14:textId="77777777" w:rsidR="00833A6D" w:rsidRPr="00C321BF" w:rsidRDefault="00833A6D" w:rsidP="00C53B6B">
                      <w:pPr>
                        <w:spacing w:after="0" w:line="240" w:lineRule="auto"/>
                        <w:rPr>
                          <w:rFonts w:ascii="MiloOT-Medi" w:hAnsi="MiloOT-Medi" w:cs="Arial"/>
                          <w:color w:val="002B5D"/>
                          <w:sz w:val="16"/>
                          <w:szCs w:val="16"/>
                        </w:rPr>
                      </w:pPr>
                    </w:p>
                    <w:p w14:paraId="392DD524" w14:textId="77777777" w:rsidR="00833A6D" w:rsidRPr="00C321BF" w:rsidRDefault="00833A6D" w:rsidP="00C53B6B">
                      <w:pPr>
                        <w:spacing w:after="0" w:line="240" w:lineRule="auto"/>
                        <w:rPr>
                          <w:rFonts w:ascii="MiloOT-Medi" w:hAnsi="MiloOT-Medi" w:cs="Arial"/>
                          <w:color w:val="002B5D"/>
                          <w:sz w:val="16"/>
                          <w:szCs w:val="16"/>
                        </w:rPr>
                      </w:pPr>
                      <w:r w:rsidRPr="00C321BF">
                        <w:rPr>
                          <w:rFonts w:ascii="MiloOT-Medi" w:hAnsi="MiloOT-Medi" w:cs="Arial"/>
                          <w:color w:val="002B5D"/>
                          <w:sz w:val="16"/>
                          <w:szCs w:val="16"/>
                        </w:rPr>
                        <w:t>www.</w:t>
                      </w:r>
                      <w:r w:rsidR="00277A26">
                        <w:rPr>
                          <w:rFonts w:ascii="MiloOT-Medi" w:hAnsi="MiloOT-Medi" w:cs="Arial"/>
                          <w:color w:val="002B5D"/>
                          <w:sz w:val="16"/>
                          <w:szCs w:val="16"/>
                        </w:rPr>
                        <w:t>hwb.online</w:t>
                      </w:r>
                    </w:p>
                    <w:p w14:paraId="2E569D4C" w14:textId="77777777" w:rsidR="00833A6D" w:rsidRPr="00DC37F2" w:rsidRDefault="00833A6D" w:rsidP="00C53B6B">
                      <w:pPr>
                        <w:spacing w:after="0" w:line="240" w:lineRule="auto"/>
                        <w:rPr>
                          <w:rFonts w:ascii="MiloOT-Medi" w:hAnsi="MiloOT-Medi" w:cs="Arial"/>
                          <w:color w:val="002B5D"/>
                          <w:sz w:val="16"/>
                          <w:szCs w:val="16"/>
                        </w:rPr>
                      </w:pPr>
                      <w:r w:rsidRPr="00DC37F2">
                        <w:rPr>
                          <w:rFonts w:ascii="MiloOT-Medi" w:hAnsi="MiloOT-Medi" w:cs="Arial"/>
                          <w:color w:val="002B5D"/>
                          <w:sz w:val="16"/>
                          <w:szCs w:val="16"/>
                        </w:rPr>
                        <w:t>bvdm@</w:t>
                      </w:r>
                      <w:r w:rsidR="00277A26" w:rsidRPr="00DC37F2">
                        <w:rPr>
                          <w:rFonts w:ascii="MiloOT-Medi" w:hAnsi="MiloOT-Medi" w:cs="Arial"/>
                          <w:color w:val="002B5D"/>
                          <w:sz w:val="16"/>
                          <w:szCs w:val="16"/>
                        </w:rPr>
                        <w:t>hwb.online</w:t>
                      </w:r>
                    </w:p>
                    <w:p w14:paraId="4BDD3092" w14:textId="77777777" w:rsidR="00833A6D" w:rsidRPr="00DC37F2" w:rsidRDefault="00833A6D" w:rsidP="00C53B6B">
                      <w:pPr>
                        <w:spacing w:after="0" w:line="240" w:lineRule="auto"/>
                        <w:rPr>
                          <w:rFonts w:ascii="Arial" w:hAnsi="Arial" w:cs="Arial"/>
                          <w:color w:val="002B5D"/>
                          <w:sz w:val="21"/>
                          <w:szCs w:val="21"/>
                        </w:rPr>
                      </w:pPr>
                    </w:p>
                  </w:txbxContent>
                </v:textbox>
              </v:shape>
            </w:pict>
          </mc:Fallback>
        </mc:AlternateContent>
      </w:r>
      <w:r w:rsidR="00C53B6B" w:rsidRPr="00420097">
        <w:rPr>
          <w:rFonts w:ascii="Arial" w:hAnsi="Arial" w:cs="Arial"/>
          <w:b/>
        </w:rPr>
        <w:t>Pressemitteilung</w:t>
      </w:r>
    </w:p>
    <w:p w14:paraId="00885A2E" w14:textId="4746C288" w:rsidR="00C53B6B" w:rsidRPr="0059324E" w:rsidRDefault="004353AC" w:rsidP="00420097">
      <w:pPr>
        <w:spacing w:before="120" w:after="0" w:line="360" w:lineRule="auto"/>
        <w:jc w:val="both"/>
        <w:rPr>
          <w:rFonts w:ascii="Arial" w:hAnsi="Arial" w:cs="Arial"/>
          <w:sz w:val="18"/>
          <w:szCs w:val="18"/>
        </w:rPr>
      </w:pPr>
      <w:r w:rsidRPr="0059324E">
        <w:rPr>
          <w:rFonts w:ascii="Arial" w:hAnsi="Arial" w:cs="Arial"/>
          <w:sz w:val="18"/>
          <w:szCs w:val="18"/>
        </w:rPr>
        <w:t xml:space="preserve">Köln, </w:t>
      </w:r>
      <w:r w:rsidR="003704F2" w:rsidRPr="0059324E">
        <w:rPr>
          <w:rFonts w:ascii="Arial" w:hAnsi="Arial" w:cs="Arial"/>
          <w:sz w:val="18"/>
          <w:szCs w:val="18"/>
        </w:rPr>
        <w:t>21</w:t>
      </w:r>
      <w:r w:rsidRPr="0059324E">
        <w:rPr>
          <w:rFonts w:ascii="Arial" w:hAnsi="Arial" w:cs="Arial"/>
          <w:sz w:val="18"/>
          <w:szCs w:val="18"/>
        </w:rPr>
        <w:t xml:space="preserve">. </w:t>
      </w:r>
      <w:r w:rsidR="003704F2" w:rsidRPr="0059324E">
        <w:rPr>
          <w:rFonts w:ascii="Arial" w:hAnsi="Arial" w:cs="Arial"/>
          <w:sz w:val="18"/>
          <w:szCs w:val="18"/>
        </w:rPr>
        <w:t>Februar</w:t>
      </w:r>
      <w:r w:rsidRPr="0059324E">
        <w:rPr>
          <w:rFonts w:ascii="Arial" w:hAnsi="Arial" w:cs="Arial"/>
          <w:sz w:val="18"/>
          <w:szCs w:val="18"/>
        </w:rPr>
        <w:t xml:space="preserve"> </w:t>
      </w:r>
      <w:r w:rsidR="004B10BC" w:rsidRPr="0059324E">
        <w:rPr>
          <w:rFonts w:ascii="Arial" w:hAnsi="Arial" w:cs="Arial"/>
          <w:sz w:val="18"/>
          <w:szCs w:val="18"/>
        </w:rPr>
        <w:t>202</w:t>
      </w:r>
      <w:r w:rsidR="003704F2" w:rsidRPr="0059324E">
        <w:rPr>
          <w:rFonts w:ascii="Arial" w:hAnsi="Arial" w:cs="Arial"/>
          <w:sz w:val="18"/>
          <w:szCs w:val="18"/>
        </w:rPr>
        <w:t>2</w:t>
      </w:r>
    </w:p>
    <w:p w14:paraId="09F84937" w14:textId="1B56E82C" w:rsidR="00BD3763" w:rsidRPr="0059324E" w:rsidRDefault="00C32CEE" w:rsidP="00420097">
      <w:pPr>
        <w:spacing w:before="120" w:after="0" w:line="360" w:lineRule="auto"/>
        <w:jc w:val="both"/>
        <w:rPr>
          <w:rFonts w:ascii="Arial" w:hAnsi="Arial" w:cs="Arial"/>
          <w:b/>
          <w:sz w:val="24"/>
          <w:szCs w:val="24"/>
        </w:rPr>
      </w:pPr>
      <w:r w:rsidRPr="0059324E">
        <w:rPr>
          <w:rFonts w:ascii="Arial" w:hAnsi="Arial" w:cs="Arial"/>
          <w:b/>
          <w:sz w:val="24"/>
          <w:szCs w:val="24"/>
        </w:rPr>
        <w:t>Konjunktur im Möbel</w:t>
      </w:r>
      <w:r w:rsidR="00A23DA0" w:rsidRPr="0059324E">
        <w:rPr>
          <w:rFonts w:ascii="Arial" w:hAnsi="Arial" w:cs="Arial"/>
          <w:b/>
          <w:sz w:val="24"/>
          <w:szCs w:val="24"/>
        </w:rPr>
        <w:t>- un</w:t>
      </w:r>
      <w:r w:rsidR="006D251F" w:rsidRPr="0059324E">
        <w:rPr>
          <w:rFonts w:ascii="Arial" w:hAnsi="Arial" w:cs="Arial"/>
          <w:b/>
          <w:sz w:val="24"/>
          <w:szCs w:val="24"/>
        </w:rPr>
        <w:t>d Küchenhandel im leichten Plus</w:t>
      </w:r>
    </w:p>
    <w:p w14:paraId="151D86CB" w14:textId="3C565E3E" w:rsidR="00C53B6B" w:rsidRPr="0059324E" w:rsidRDefault="00A23DA0" w:rsidP="0059324E">
      <w:pPr>
        <w:pStyle w:val="Kopfzeile"/>
        <w:tabs>
          <w:tab w:val="clear" w:pos="9072"/>
          <w:tab w:val="right" w:pos="6663"/>
        </w:tabs>
        <w:spacing w:before="120" w:line="360" w:lineRule="auto"/>
        <w:jc w:val="both"/>
        <w:rPr>
          <w:rFonts w:ascii="Arial" w:hAnsi="Arial" w:cs="Arial"/>
          <w:b/>
          <w:bCs/>
        </w:rPr>
      </w:pPr>
      <w:r w:rsidRPr="0059324E">
        <w:rPr>
          <w:rFonts w:ascii="Arial" w:hAnsi="Arial" w:cs="Arial"/>
          <w:b/>
          <w:bCs/>
        </w:rPr>
        <w:t>T</w:t>
      </w:r>
      <w:r w:rsidR="00633966" w:rsidRPr="0059324E">
        <w:rPr>
          <w:rFonts w:ascii="Arial" w:hAnsi="Arial" w:cs="Arial"/>
          <w:b/>
          <w:bCs/>
        </w:rPr>
        <w:t>rotz der widrigen</w:t>
      </w:r>
      <w:r w:rsidR="00277A26" w:rsidRPr="0059324E">
        <w:rPr>
          <w:rFonts w:ascii="Arial" w:hAnsi="Arial" w:cs="Arial"/>
          <w:b/>
          <w:bCs/>
        </w:rPr>
        <w:t xml:space="preserve"> </w:t>
      </w:r>
      <w:r w:rsidR="00D00846" w:rsidRPr="0059324E">
        <w:rPr>
          <w:rFonts w:ascii="Arial" w:hAnsi="Arial" w:cs="Arial"/>
          <w:b/>
          <w:bCs/>
        </w:rPr>
        <w:t>Umstände 2021</w:t>
      </w:r>
      <w:r w:rsidRPr="0059324E">
        <w:rPr>
          <w:rFonts w:ascii="Arial" w:hAnsi="Arial" w:cs="Arial"/>
          <w:b/>
          <w:bCs/>
        </w:rPr>
        <w:t xml:space="preserve"> blickt der Möbelhandel auf ein erfolgreiches J</w:t>
      </w:r>
      <w:r w:rsidR="00277A26" w:rsidRPr="0059324E">
        <w:rPr>
          <w:rFonts w:ascii="Arial" w:hAnsi="Arial" w:cs="Arial"/>
          <w:b/>
          <w:bCs/>
        </w:rPr>
        <w:t>ahr zurück.</w:t>
      </w:r>
      <w:r w:rsidR="005D365F" w:rsidRPr="0059324E">
        <w:rPr>
          <w:rFonts w:ascii="Arial" w:hAnsi="Arial" w:cs="Arial"/>
          <w:b/>
          <w:bCs/>
        </w:rPr>
        <w:t xml:space="preserve"> </w:t>
      </w:r>
      <w:r w:rsidR="00574435" w:rsidRPr="0059324E">
        <w:rPr>
          <w:rFonts w:ascii="Arial" w:hAnsi="Arial" w:cs="Arial"/>
          <w:b/>
          <w:bCs/>
        </w:rPr>
        <w:t>Dennoch ist die Entwicklung in den einzelnen Warengruppen völlig heterogen: Der Büromöbel- und d</w:t>
      </w:r>
      <w:r w:rsidR="005D365F" w:rsidRPr="0059324E">
        <w:rPr>
          <w:rFonts w:ascii="Arial" w:hAnsi="Arial" w:cs="Arial"/>
          <w:b/>
          <w:bCs/>
        </w:rPr>
        <w:t xml:space="preserve">er Küchenmarkt </w:t>
      </w:r>
      <w:r w:rsidR="00574435" w:rsidRPr="0059324E">
        <w:rPr>
          <w:rFonts w:ascii="Arial" w:hAnsi="Arial" w:cs="Arial"/>
          <w:b/>
          <w:bCs/>
        </w:rPr>
        <w:t xml:space="preserve">gehen </w:t>
      </w:r>
      <w:r w:rsidR="005D365F" w:rsidRPr="0059324E">
        <w:rPr>
          <w:rFonts w:ascii="Arial" w:hAnsi="Arial" w:cs="Arial"/>
          <w:b/>
          <w:bCs/>
        </w:rPr>
        <w:t>als Wachstumstreiber aus der Krise hervor</w:t>
      </w:r>
      <w:r w:rsidR="00574435" w:rsidRPr="0059324E">
        <w:rPr>
          <w:rFonts w:ascii="Arial" w:hAnsi="Arial" w:cs="Arial"/>
          <w:b/>
          <w:bCs/>
        </w:rPr>
        <w:t>, wohingegen der Matratzen- und Gartenm</w:t>
      </w:r>
      <w:r w:rsidR="00E60231" w:rsidRPr="0059324E">
        <w:rPr>
          <w:rFonts w:ascii="Arial" w:hAnsi="Arial" w:cs="Arial"/>
          <w:b/>
          <w:bCs/>
        </w:rPr>
        <w:t>öbelbereich Verluste hinnehmen musste</w:t>
      </w:r>
      <w:r w:rsidR="005D365F" w:rsidRPr="0059324E">
        <w:rPr>
          <w:rFonts w:ascii="Arial" w:hAnsi="Arial" w:cs="Arial"/>
          <w:b/>
          <w:bCs/>
        </w:rPr>
        <w:t>.</w:t>
      </w:r>
    </w:p>
    <w:p w14:paraId="28C8E77C" w14:textId="575914D4" w:rsidR="00CA6674" w:rsidRPr="0059324E" w:rsidRDefault="00CA6674" w:rsidP="0059324E">
      <w:pPr>
        <w:pStyle w:val="Kopfzeile"/>
        <w:tabs>
          <w:tab w:val="clear" w:pos="9072"/>
          <w:tab w:val="right" w:pos="6663"/>
        </w:tabs>
        <w:spacing w:before="120" w:line="360" w:lineRule="auto"/>
        <w:jc w:val="both"/>
        <w:rPr>
          <w:rFonts w:ascii="Arial" w:hAnsi="Arial" w:cs="Arial"/>
          <w:b/>
          <w:bCs/>
        </w:rPr>
      </w:pPr>
      <w:r w:rsidRPr="0059324E">
        <w:rPr>
          <w:rFonts w:ascii="Arial" w:hAnsi="Arial" w:cs="Arial"/>
          <w:b/>
          <w:bCs/>
        </w:rPr>
        <w:t>Der Möbel-, Küchen- und Einrich</w:t>
      </w:r>
      <w:r w:rsidR="0047274B" w:rsidRPr="0059324E">
        <w:rPr>
          <w:rFonts w:ascii="Arial" w:hAnsi="Arial" w:cs="Arial"/>
          <w:b/>
          <w:bCs/>
        </w:rPr>
        <w:t>tungsfachha</w:t>
      </w:r>
      <w:r w:rsidR="00BD3763" w:rsidRPr="0059324E">
        <w:rPr>
          <w:rFonts w:ascii="Arial" w:hAnsi="Arial" w:cs="Arial"/>
          <w:b/>
          <w:bCs/>
        </w:rPr>
        <w:t xml:space="preserve">ndel </w:t>
      </w:r>
      <w:r w:rsidR="00D74470" w:rsidRPr="0059324E">
        <w:rPr>
          <w:rFonts w:ascii="Arial" w:hAnsi="Arial" w:cs="Arial"/>
          <w:b/>
          <w:bCs/>
        </w:rPr>
        <w:t>hat</w:t>
      </w:r>
      <w:r w:rsidR="00E60231" w:rsidRPr="0059324E">
        <w:rPr>
          <w:rFonts w:ascii="Arial" w:hAnsi="Arial" w:cs="Arial"/>
          <w:b/>
          <w:bCs/>
        </w:rPr>
        <w:t xml:space="preserve"> im Jahr 2021 </w:t>
      </w:r>
      <w:r w:rsidR="00D74470" w:rsidRPr="0059324E">
        <w:rPr>
          <w:rFonts w:ascii="Arial" w:hAnsi="Arial" w:cs="Arial"/>
          <w:b/>
          <w:bCs/>
        </w:rPr>
        <w:t>den Umsatz des Vorjahres um rund 2 Prozent übertroffen und wird aller Voraussicht</w:t>
      </w:r>
      <w:r w:rsidR="007A7E86" w:rsidRPr="0059324E">
        <w:rPr>
          <w:rFonts w:ascii="Arial" w:hAnsi="Arial" w:cs="Arial"/>
          <w:b/>
          <w:bCs/>
        </w:rPr>
        <w:t xml:space="preserve"> </w:t>
      </w:r>
      <w:r w:rsidR="00D00846" w:rsidRPr="0059324E">
        <w:rPr>
          <w:rFonts w:ascii="Arial" w:hAnsi="Arial" w:cs="Arial"/>
          <w:b/>
          <w:bCs/>
        </w:rPr>
        <w:t xml:space="preserve">nach </w:t>
      </w:r>
      <w:r w:rsidR="004429A5" w:rsidRPr="0059324E">
        <w:rPr>
          <w:rFonts w:ascii="Arial" w:hAnsi="Arial" w:cs="Arial"/>
          <w:b/>
          <w:bCs/>
        </w:rPr>
        <w:t xml:space="preserve">mit </w:t>
      </w:r>
      <w:r w:rsidR="00615659" w:rsidRPr="0059324E">
        <w:rPr>
          <w:rFonts w:ascii="Arial" w:hAnsi="Arial" w:cs="Arial"/>
          <w:b/>
          <w:bCs/>
        </w:rPr>
        <w:t>rund 3</w:t>
      </w:r>
      <w:r w:rsidR="00D74470" w:rsidRPr="0059324E">
        <w:rPr>
          <w:rFonts w:ascii="Arial" w:hAnsi="Arial" w:cs="Arial"/>
          <w:b/>
          <w:bCs/>
        </w:rPr>
        <w:t>3</w:t>
      </w:r>
      <w:r w:rsidR="00615659" w:rsidRPr="0059324E">
        <w:rPr>
          <w:rFonts w:ascii="Arial" w:hAnsi="Arial" w:cs="Arial"/>
          <w:b/>
          <w:bCs/>
        </w:rPr>
        <w:t>,</w:t>
      </w:r>
      <w:r w:rsidR="00E60231" w:rsidRPr="0059324E">
        <w:rPr>
          <w:rFonts w:ascii="Arial" w:hAnsi="Arial" w:cs="Arial"/>
          <w:b/>
          <w:bCs/>
        </w:rPr>
        <w:t>8</w:t>
      </w:r>
      <w:r w:rsidRPr="0059324E">
        <w:rPr>
          <w:rFonts w:ascii="Arial" w:hAnsi="Arial" w:cs="Arial"/>
          <w:b/>
          <w:bCs/>
        </w:rPr>
        <w:t xml:space="preserve"> Milliarden Euro Jahresbruttoumsatz</w:t>
      </w:r>
      <w:r w:rsidR="00F870F8" w:rsidRPr="0059324E">
        <w:rPr>
          <w:rFonts w:ascii="Arial" w:hAnsi="Arial" w:cs="Arial"/>
          <w:b/>
          <w:bCs/>
        </w:rPr>
        <w:t xml:space="preserve"> </w:t>
      </w:r>
      <w:r w:rsidR="00D74470" w:rsidRPr="0059324E">
        <w:rPr>
          <w:rFonts w:ascii="Arial" w:hAnsi="Arial" w:cs="Arial"/>
          <w:b/>
          <w:bCs/>
        </w:rPr>
        <w:t xml:space="preserve">weiterhin auf hohem Niveau bleiben. </w:t>
      </w:r>
      <w:r w:rsidRPr="0059324E">
        <w:rPr>
          <w:rFonts w:ascii="Arial" w:hAnsi="Arial" w:cs="Arial"/>
          <w:b/>
          <w:bCs/>
        </w:rPr>
        <w:t>Dies ergibt sich aus Hochrechnungen au</w:t>
      </w:r>
      <w:r w:rsidR="0047274B" w:rsidRPr="0059324E">
        <w:rPr>
          <w:rFonts w:ascii="Arial" w:hAnsi="Arial" w:cs="Arial"/>
          <w:b/>
          <w:bCs/>
        </w:rPr>
        <w:t>f Basis de</w:t>
      </w:r>
      <w:r w:rsidR="00A93AC6" w:rsidRPr="0059324E">
        <w:rPr>
          <w:rFonts w:ascii="Arial" w:hAnsi="Arial" w:cs="Arial"/>
          <w:b/>
          <w:bCs/>
        </w:rPr>
        <w:t xml:space="preserve">r ersten zehn Monate </w:t>
      </w:r>
      <w:r w:rsidR="00277A26" w:rsidRPr="0059324E">
        <w:rPr>
          <w:rFonts w:ascii="Arial" w:hAnsi="Arial" w:cs="Arial"/>
          <w:b/>
          <w:bCs/>
        </w:rPr>
        <w:t>202</w:t>
      </w:r>
      <w:r w:rsidR="00D74470" w:rsidRPr="0059324E">
        <w:rPr>
          <w:rFonts w:ascii="Arial" w:hAnsi="Arial" w:cs="Arial"/>
          <w:b/>
          <w:bCs/>
        </w:rPr>
        <w:t>1</w:t>
      </w:r>
      <w:r w:rsidR="00EA5991" w:rsidRPr="0059324E">
        <w:rPr>
          <w:rFonts w:ascii="Arial" w:hAnsi="Arial" w:cs="Arial"/>
          <w:b/>
          <w:bCs/>
        </w:rPr>
        <w:t xml:space="preserve"> nach Werten des </w:t>
      </w:r>
      <w:r w:rsidR="00615659" w:rsidRPr="0059324E">
        <w:rPr>
          <w:rFonts w:ascii="Arial" w:hAnsi="Arial" w:cs="Arial"/>
          <w:b/>
          <w:bCs/>
        </w:rPr>
        <w:t>BVDM in Abstimmung mit dem IFH Köln.</w:t>
      </w:r>
      <w:r w:rsidR="00277A26" w:rsidRPr="0059324E">
        <w:rPr>
          <w:rFonts w:ascii="Arial" w:hAnsi="Arial" w:cs="Arial"/>
          <w:b/>
          <w:bCs/>
        </w:rPr>
        <w:t xml:space="preserve"> </w:t>
      </w:r>
      <w:r w:rsidR="00E60231" w:rsidRPr="0059324E">
        <w:rPr>
          <w:rFonts w:ascii="Arial" w:hAnsi="Arial" w:cs="Arial"/>
          <w:b/>
          <w:bCs/>
        </w:rPr>
        <w:t>In 2022</w:t>
      </w:r>
      <w:r w:rsidRPr="0059324E">
        <w:rPr>
          <w:rFonts w:ascii="Arial" w:hAnsi="Arial" w:cs="Arial"/>
          <w:b/>
          <w:bCs/>
        </w:rPr>
        <w:t xml:space="preserve"> </w:t>
      </w:r>
      <w:r w:rsidR="00E60231" w:rsidRPr="0059324E">
        <w:rPr>
          <w:rFonts w:ascii="Arial" w:hAnsi="Arial" w:cs="Arial"/>
          <w:b/>
          <w:bCs/>
        </w:rPr>
        <w:t>wird der Möbelhandel Störfaktoren wie das weitere Pandemiegeschehen, Inflation, Lieferengpässe sowie erwarte</w:t>
      </w:r>
      <w:r w:rsidR="00CD3266" w:rsidRPr="0059324E">
        <w:rPr>
          <w:rFonts w:ascii="Arial" w:hAnsi="Arial" w:cs="Arial"/>
          <w:b/>
          <w:bCs/>
        </w:rPr>
        <w:t>te</w:t>
      </w:r>
      <w:r w:rsidR="00E60231" w:rsidRPr="0059324E">
        <w:rPr>
          <w:rFonts w:ascii="Arial" w:hAnsi="Arial" w:cs="Arial"/>
          <w:b/>
          <w:bCs/>
        </w:rPr>
        <w:t xml:space="preserve"> Verschiebungen bei Konsumausgaben in andere Bereiche </w:t>
      </w:r>
      <w:r w:rsidR="0037292C" w:rsidRPr="0059324E">
        <w:rPr>
          <w:rFonts w:ascii="Arial" w:hAnsi="Arial" w:cs="Arial"/>
          <w:b/>
          <w:bCs/>
        </w:rPr>
        <w:t xml:space="preserve">wie </w:t>
      </w:r>
      <w:r w:rsidR="00E60231" w:rsidRPr="0059324E">
        <w:rPr>
          <w:rFonts w:ascii="Arial" w:hAnsi="Arial" w:cs="Arial"/>
          <w:b/>
          <w:bCs/>
        </w:rPr>
        <w:t>Tourismus zu bewerkstelligen haben</w:t>
      </w:r>
      <w:r w:rsidR="00DA1DDC">
        <w:rPr>
          <w:rFonts w:ascii="Arial" w:hAnsi="Arial" w:cs="Arial"/>
          <w:b/>
          <w:bCs/>
        </w:rPr>
        <w:t>.</w:t>
      </w:r>
    </w:p>
    <w:p w14:paraId="71CF5A5B" w14:textId="25D67A1F" w:rsidR="00944881" w:rsidRPr="00420097" w:rsidRDefault="00944881" w:rsidP="008D34A2">
      <w:pPr>
        <w:pStyle w:val="Kopfzeile"/>
        <w:tabs>
          <w:tab w:val="clear" w:pos="4536"/>
          <w:tab w:val="clear" w:pos="9072"/>
        </w:tabs>
        <w:spacing w:before="240" w:line="360" w:lineRule="auto"/>
        <w:jc w:val="both"/>
        <w:rPr>
          <w:rFonts w:ascii="Arial" w:hAnsi="Arial" w:cs="Arial"/>
          <w:b/>
          <w:bCs/>
        </w:rPr>
      </w:pPr>
      <w:r w:rsidRPr="00420097">
        <w:rPr>
          <w:rFonts w:ascii="Arial" w:hAnsi="Arial" w:cs="Arial"/>
          <w:b/>
          <w:bCs/>
        </w:rPr>
        <w:t>Wirtsc</w:t>
      </w:r>
      <w:r w:rsidR="00574435" w:rsidRPr="00420097">
        <w:rPr>
          <w:rFonts w:ascii="Arial" w:hAnsi="Arial" w:cs="Arial"/>
          <w:b/>
          <w:bCs/>
        </w:rPr>
        <w:t>haftliche Rahmenbedingungen 2021</w:t>
      </w:r>
    </w:p>
    <w:p w14:paraId="121AF6A2" w14:textId="71390138" w:rsidR="0055140A" w:rsidRPr="00420097" w:rsidRDefault="0055140A" w:rsidP="00420097">
      <w:pPr>
        <w:pStyle w:val="Kopfzeile"/>
        <w:tabs>
          <w:tab w:val="clear" w:pos="9072"/>
          <w:tab w:val="right" w:pos="6663"/>
        </w:tabs>
        <w:spacing w:before="120" w:line="360" w:lineRule="auto"/>
        <w:jc w:val="both"/>
        <w:rPr>
          <w:rFonts w:ascii="Arial" w:hAnsi="Arial" w:cs="Arial"/>
          <w:bCs/>
        </w:rPr>
      </w:pPr>
      <w:r w:rsidRPr="00420097">
        <w:rPr>
          <w:rFonts w:ascii="Arial" w:hAnsi="Arial" w:cs="Arial"/>
          <w:bCs/>
        </w:rPr>
        <w:t>Nach einem gesamtwirtschaftlich durchwachsenen 1. Quartal 2021 zeigen die Monate April, Mai und Juni erste Zeichen der Erholung im Einzelhandel. Wie das Statistische Bundesamt mitteilt, ließen die Lockerungen der Corona-Maßnahmen die Umsatzzahlen in Einzelhandel und Tourismus im Mai zwar kräftig steigen, sie l</w:t>
      </w:r>
      <w:r w:rsidR="00A63E8C">
        <w:rPr>
          <w:rFonts w:ascii="Arial" w:hAnsi="Arial" w:cs="Arial"/>
          <w:bCs/>
        </w:rPr>
        <w:t>a</w:t>
      </w:r>
      <w:r w:rsidRPr="00420097">
        <w:rPr>
          <w:rFonts w:ascii="Arial" w:hAnsi="Arial" w:cs="Arial"/>
          <w:bCs/>
        </w:rPr>
        <w:t xml:space="preserve">gen aber deutlich unter dem Vorkrisenniveau. Eine Insolvenzwelle aufgrund der Pandemie blieb bislang aus. </w:t>
      </w:r>
    </w:p>
    <w:p w14:paraId="47DC03A2" w14:textId="699B678B" w:rsidR="0055140A" w:rsidRPr="00420097" w:rsidRDefault="0055140A" w:rsidP="00420097">
      <w:pPr>
        <w:pStyle w:val="Kopfzeile"/>
        <w:spacing w:before="120" w:line="360" w:lineRule="auto"/>
        <w:jc w:val="both"/>
        <w:rPr>
          <w:rFonts w:ascii="Arial" w:hAnsi="Arial" w:cs="Arial"/>
          <w:bCs/>
        </w:rPr>
      </w:pPr>
      <w:r w:rsidRPr="00420097">
        <w:rPr>
          <w:rFonts w:ascii="Arial" w:hAnsi="Arial" w:cs="Arial"/>
          <w:bCs/>
        </w:rPr>
        <w:t xml:space="preserve">Der Einzelhandel mit Nicht-Lebensmitteln, der seit Beginn der Corona-Krise von den Einschränkungen stark betroffen ist, konnte sich im Mai 2021 real, kalender- und saisonbereinigt um 6,7 Prozent gegenüber dem Vormonat steigern. </w:t>
      </w:r>
    </w:p>
    <w:p w14:paraId="6B000CFD" w14:textId="554F25A0" w:rsidR="0055140A" w:rsidRPr="00420097" w:rsidRDefault="0055140A" w:rsidP="00420097">
      <w:pPr>
        <w:pStyle w:val="Kopfzeile"/>
        <w:spacing w:before="120" w:line="360" w:lineRule="auto"/>
        <w:jc w:val="both"/>
        <w:rPr>
          <w:rFonts w:ascii="Arial" w:hAnsi="Arial" w:cs="Arial"/>
          <w:bCs/>
        </w:rPr>
      </w:pPr>
      <w:r w:rsidRPr="00420097">
        <w:rPr>
          <w:rFonts w:ascii="Arial" w:hAnsi="Arial" w:cs="Arial"/>
          <w:bCs/>
        </w:rPr>
        <w:t xml:space="preserve">Der Internet- und Versandhandel zeigt sich währenddessen vom wieder aufkeimenden Wachstum des stationären Handels unbeeinflusst. Im März 2021 hatte der Versand- und Internethandel </w:t>
      </w:r>
      <w:r w:rsidR="0084436D">
        <w:rPr>
          <w:rFonts w:ascii="Arial" w:hAnsi="Arial" w:cs="Arial"/>
          <w:bCs/>
        </w:rPr>
        <w:t xml:space="preserve">mit </w:t>
      </w:r>
      <w:r w:rsidR="0084436D" w:rsidRPr="0084436D">
        <w:rPr>
          <w:rFonts w:ascii="Arial" w:hAnsi="Arial" w:cs="Arial"/>
          <w:bCs/>
        </w:rPr>
        <w:t xml:space="preserve">einer Zuwachsrate von rund 44 Prozent gegenüber dem Vorjahr </w:t>
      </w:r>
      <w:r w:rsidRPr="0084436D">
        <w:rPr>
          <w:rFonts w:ascii="Arial" w:hAnsi="Arial" w:cs="Arial"/>
          <w:bCs/>
        </w:rPr>
        <w:lastRenderedPageBreak/>
        <w:t>einen Umsatzrekord erzielt.</w:t>
      </w:r>
      <w:r w:rsidR="00E4163C" w:rsidRPr="0084436D">
        <w:rPr>
          <w:rFonts w:ascii="Arial" w:hAnsi="Arial" w:cs="Arial"/>
          <w:bCs/>
        </w:rPr>
        <w:t xml:space="preserve"> </w:t>
      </w:r>
      <w:r w:rsidRPr="0084436D">
        <w:rPr>
          <w:rFonts w:ascii="Arial" w:hAnsi="Arial" w:cs="Arial"/>
          <w:bCs/>
        </w:rPr>
        <w:t xml:space="preserve">Die </w:t>
      </w:r>
      <w:r w:rsidRPr="00420097">
        <w:rPr>
          <w:rFonts w:ascii="Arial" w:hAnsi="Arial" w:cs="Arial"/>
          <w:bCs/>
        </w:rPr>
        <w:t>erwartete Insolvenzwelle durch die Corona-Krise ist bislang ausgeblieben. Auch als Effekt staatlicher Unterstützungen und des Aussetzens der Insolvenzantragspflicht setzte sich der langjährige Trend sinkender Insolvenzzahlen sogar verstärkt fort.</w:t>
      </w:r>
    </w:p>
    <w:p w14:paraId="631F2513" w14:textId="7953B738" w:rsidR="00110407" w:rsidRPr="00420097" w:rsidRDefault="00070D0D" w:rsidP="00420097">
      <w:pPr>
        <w:pStyle w:val="Kopfzeile"/>
        <w:spacing w:before="120" w:line="360" w:lineRule="auto"/>
        <w:jc w:val="both"/>
        <w:rPr>
          <w:rFonts w:ascii="Arial" w:hAnsi="Arial" w:cs="Arial"/>
          <w:bCs/>
        </w:rPr>
      </w:pPr>
      <w:r w:rsidRPr="00420097">
        <w:rPr>
          <w:rFonts w:ascii="Arial" w:hAnsi="Arial" w:cs="Arial"/>
          <w:bCs/>
        </w:rPr>
        <w:t xml:space="preserve">Die deutsche Wirtschaft erholte sich </w:t>
      </w:r>
      <w:r w:rsidR="00110407" w:rsidRPr="00420097">
        <w:rPr>
          <w:rFonts w:ascii="Arial" w:hAnsi="Arial" w:cs="Arial"/>
          <w:bCs/>
        </w:rPr>
        <w:t xml:space="preserve">bis zu Beginn des 4. Quartals 2021 stetig und auch der Arbeitsmarkt hat sich trotz Corona weiter gut entwickelt. </w:t>
      </w:r>
      <w:r w:rsidR="000B5E15" w:rsidRPr="00420097">
        <w:rPr>
          <w:rFonts w:ascii="Arial" w:hAnsi="Arial" w:cs="Arial"/>
          <w:bCs/>
        </w:rPr>
        <w:t xml:space="preserve">Diese Entwicklung spiegelt sich auch in der rückläufigen Inanspruchnahme von </w:t>
      </w:r>
      <w:r w:rsidR="00FC1FAF" w:rsidRPr="00420097">
        <w:rPr>
          <w:rFonts w:ascii="Arial" w:hAnsi="Arial" w:cs="Arial"/>
          <w:bCs/>
        </w:rPr>
        <w:t>Kurzarbeit wi</w:t>
      </w:r>
      <w:r w:rsidR="000B5E15" w:rsidRPr="00420097">
        <w:rPr>
          <w:rFonts w:ascii="Arial" w:hAnsi="Arial" w:cs="Arial"/>
          <w:bCs/>
        </w:rPr>
        <w:t xml:space="preserve">der: Die Statistik der Bundesagentur für Arbeit schätzt die jahresdurchschnittliche Kurzarbeiterzahl 2021 mit rund 1,85 Millionen deutlich geringer ein, als 2020 mit einer durchschnittlichen Kurzarbeiterzahl von 2,94 Millionen Personen. </w:t>
      </w:r>
    </w:p>
    <w:p w14:paraId="65AB3821" w14:textId="286DEF00" w:rsidR="00070D0D" w:rsidRPr="00420097" w:rsidRDefault="00070D0D" w:rsidP="00420097">
      <w:pPr>
        <w:pStyle w:val="Kopfzeile"/>
        <w:spacing w:before="120" w:line="360" w:lineRule="auto"/>
        <w:jc w:val="both"/>
        <w:rPr>
          <w:rFonts w:ascii="Arial" w:hAnsi="Arial" w:cs="Arial"/>
          <w:bCs/>
        </w:rPr>
      </w:pPr>
      <w:r w:rsidRPr="00420097">
        <w:rPr>
          <w:rFonts w:ascii="Arial" w:hAnsi="Arial" w:cs="Arial"/>
          <w:bCs/>
        </w:rPr>
        <w:t>A</w:t>
      </w:r>
      <w:r w:rsidR="00EA0395" w:rsidRPr="00420097">
        <w:rPr>
          <w:rFonts w:ascii="Arial" w:hAnsi="Arial" w:cs="Arial"/>
          <w:bCs/>
        </w:rPr>
        <w:t>ngesichts der Omikron-W</w:t>
      </w:r>
      <w:r w:rsidRPr="00420097">
        <w:rPr>
          <w:rFonts w:ascii="Arial" w:hAnsi="Arial" w:cs="Arial"/>
          <w:bCs/>
        </w:rPr>
        <w:t xml:space="preserve">elle </w:t>
      </w:r>
      <w:r w:rsidR="00A536A4" w:rsidRPr="00420097">
        <w:rPr>
          <w:rFonts w:ascii="Arial" w:hAnsi="Arial" w:cs="Arial"/>
          <w:bCs/>
        </w:rPr>
        <w:t>im Winter 202</w:t>
      </w:r>
      <w:r w:rsidR="00E4163C" w:rsidRPr="00420097">
        <w:rPr>
          <w:rFonts w:ascii="Arial" w:hAnsi="Arial" w:cs="Arial"/>
          <w:bCs/>
        </w:rPr>
        <w:t xml:space="preserve">1 und </w:t>
      </w:r>
      <w:r w:rsidRPr="00420097">
        <w:rPr>
          <w:rFonts w:ascii="Arial" w:hAnsi="Arial" w:cs="Arial"/>
          <w:bCs/>
        </w:rPr>
        <w:t>der damit verbundenen Eindämmungsmaßnahmen</w:t>
      </w:r>
      <w:r w:rsidR="00EA0395" w:rsidRPr="00420097">
        <w:rPr>
          <w:rFonts w:ascii="Arial" w:hAnsi="Arial" w:cs="Arial"/>
          <w:bCs/>
        </w:rPr>
        <w:t xml:space="preserve"> wie 2G im Einzelhandel</w:t>
      </w:r>
      <w:r w:rsidR="00A536A4" w:rsidRPr="00420097">
        <w:rPr>
          <w:rFonts w:ascii="Arial" w:hAnsi="Arial" w:cs="Arial"/>
          <w:bCs/>
        </w:rPr>
        <w:t xml:space="preserve"> und dem in großen Teilen </w:t>
      </w:r>
      <w:r w:rsidR="00EA0395" w:rsidRPr="00420097">
        <w:rPr>
          <w:rFonts w:ascii="Arial" w:hAnsi="Arial" w:cs="Arial"/>
          <w:bCs/>
        </w:rPr>
        <w:t>eingeschränkten</w:t>
      </w:r>
      <w:r w:rsidR="00A536A4" w:rsidRPr="00420097">
        <w:rPr>
          <w:rFonts w:ascii="Arial" w:hAnsi="Arial" w:cs="Arial"/>
          <w:bCs/>
        </w:rPr>
        <w:t xml:space="preserve"> Weihnachtsgeschäft</w:t>
      </w:r>
      <w:r w:rsidRPr="00420097">
        <w:rPr>
          <w:rFonts w:ascii="Arial" w:hAnsi="Arial" w:cs="Arial"/>
          <w:bCs/>
        </w:rPr>
        <w:t xml:space="preserve"> wird die Wirtschaftsent</w:t>
      </w:r>
      <w:r w:rsidR="00A536A4" w:rsidRPr="00420097">
        <w:rPr>
          <w:rFonts w:ascii="Arial" w:hAnsi="Arial" w:cs="Arial"/>
          <w:bCs/>
        </w:rPr>
        <w:t xml:space="preserve">wicklung im Schlussquartal </w:t>
      </w:r>
      <w:r w:rsidRPr="00420097">
        <w:rPr>
          <w:rFonts w:ascii="Arial" w:hAnsi="Arial" w:cs="Arial"/>
          <w:bCs/>
        </w:rPr>
        <w:t>erneut nachge</w:t>
      </w:r>
      <w:r w:rsidR="00A536A4" w:rsidRPr="00420097">
        <w:rPr>
          <w:rFonts w:ascii="Arial" w:hAnsi="Arial" w:cs="Arial"/>
          <w:bCs/>
        </w:rPr>
        <w:t>ge</w:t>
      </w:r>
      <w:r w:rsidRPr="00420097">
        <w:rPr>
          <w:rFonts w:ascii="Arial" w:hAnsi="Arial" w:cs="Arial"/>
          <w:bCs/>
        </w:rPr>
        <w:t xml:space="preserve">ben haben. </w:t>
      </w:r>
    </w:p>
    <w:p w14:paraId="1FB67E68" w14:textId="37E73975" w:rsidR="00421998" w:rsidRPr="00420097" w:rsidRDefault="00E4163C" w:rsidP="008D34A2">
      <w:pPr>
        <w:pStyle w:val="Kopfzeile"/>
        <w:tabs>
          <w:tab w:val="clear" w:pos="4536"/>
          <w:tab w:val="clear" w:pos="9072"/>
        </w:tabs>
        <w:spacing w:before="240" w:line="360" w:lineRule="auto"/>
        <w:jc w:val="both"/>
        <w:rPr>
          <w:rFonts w:ascii="Arial" w:hAnsi="Arial" w:cs="Arial"/>
          <w:b/>
          <w:bCs/>
        </w:rPr>
      </w:pPr>
      <w:r w:rsidRPr="00420097">
        <w:rPr>
          <w:rFonts w:ascii="Arial" w:hAnsi="Arial" w:cs="Arial"/>
          <w:b/>
          <w:bCs/>
        </w:rPr>
        <w:t>Gesamtsituation im stationären Möbelfachhandel während der Corona-Pandemie 2021</w:t>
      </w:r>
    </w:p>
    <w:p w14:paraId="3470BCA1" w14:textId="3B5C97C6" w:rsidR="00163792" w:rsidRDefault="0032393B" w:rsidP="00420097">
      <w:pPr>
        <w:pStyle w:val="Kopfzeile"/>
        <w:spacing w:before="120" w:line="360" w:lineRule="auto"/>
        <w:jc w:val="both"/>
        <w:rPr>
          <w:rFonts w:ascii="Arial" w:hAnsi="Arial" w:cs="Arial"/>
          <w:bCs/>
        </w:rPr>
      </w:pPr>
      <w:r w:rsidRPr="00420097">
        <w:rPr>
          <w:rFonts w:ascii="Arial" w:hAnsi="Arial" w:cs="Arial"/>
          <w:bCs/>
        </w:rPr>
        <w:t xml:space="preserve">Der erneute Lockdown von Dezember 2020 bis Mai 2021 zeigte, dass Einzelhändler sich </w:t>
      </w:r>
      <w:r w:rsidR="00163792" w:rsidRPr="00420097">
        <w:rPr>
          <w:rFonts w:ascii="Arial" w:hAnsi="Arial" w:cs="Arial"/>
          <w:bCs/>
        </w:rPr>
        <w:t>mit verschieden</w:t>
      </w:r>
      <w:r w:rsidR="00813825">
        <w:rPr>
          <w:rFonts w:ascii="Arial" w:hAnsi="Arial" w:cs="Arial"/>
          <w:bCs/>
        </w:rPr>
        <w:t>st</w:t>
      </w:r>
      <w:r w:rsidR="00163792" w:rsidRPr="00420097">
        <w:rPr>
          <w:rFonts w:ascii="Arial" w:hAnsi="Arial" w:cs="Arial"/>
          <w:bCs/>
        </w:rPr>
        <w:t>en Möglichkeiten beschäftigen</w:t>
      </w:r>
      <w:r w:rsidRPr="00420097">
        <w:rPr>
          <w:rFonts w:ascii="Arial" w:hAnsi="Arial" w:cs="Arial"/>
          <w:bCs/>
        </w:rPr>
        <w:t xml:space="preserve"> mussten</w:t>
      </w:r>
      <w:r w:rsidR="00163792" w:rsidRPr="00420097">
        <w:rPr>
          <w:rFonts w:ascii="Arial" w:hAnsi="Arial" w:cs="Arial"/>
          <w:bCs/>
        </w:rPr>
        <w:t>, wie sie ihr Geschäft wenigstens t</w:t>
      </w:r>
      <w:r w:rsidRPr="00420097">
        <w:rPr>
          <w:rFonts w:ascii="Arial" w:hAnsi="Arial" w:cs="Arial"/>
          <w:bCs/>
        </w:rPr>
        <w:t>eilweise wieder betreiben konnten</w:t>
      </w:r>
      <w:r w:rsidR="00163792" w:rsidRPr="00420097">
        <w:rPr>
          <w:rFonts w:ascii="Arial" w:hAnsi="Arial" w:cs="Arial"/>
          <w:bCs/>
        </w:rPr>
        <w:t>. Neben den reinen Online-Aktivitäten wie Online-Shop, Marktpl</w:t>
      </w:r>
      <w:r w:rsidRPr="00420097">
        <w:rPr>
          <w:rFonts w:ascii="Arial" w:hAnsi="Arial" w:cs="Arial"/>
          <w:bCs/>
        </w:rPr>
        <w:t>ätze oder auch Social Med</w:t>
      </w:r>
      <w:r w:rsidR="009C3978">
        <w:rPr>
          <w:rFonts w:ascii="Arial" w:hAnsi="Arial" w:cs="Arial"/>
          <w:bCs/>
        </w:rPr>
        <w:t>ia, standen</w:t>
      </w:r>
      <w:r w:rsidR="00163792" w:rsidRPr="00420097">
        <w:rPr>
          <w:rFonts w:ascii="Arial" w:hAnsi="Arial" w:cs="Arial"/>
          <w:bCs/>
        </w:rPr>
        <w:t xml:space="preserve"> Click</w:t>
      </w:r>
      <w:r w:rsidR="00813825">
        <w:rPr>
          <w:rFonts w:ascii="Arial" w:hAnsi="Arial" w:cs="Arial"/>
          <w:bCs/>
        </w:rPr>
        <w:t xml:space="preserve"> </w:t>
      </w:r>
      <w:r w:rsidR="00163792" w:rsidRPr="00420097">
        <w:rPr>
          <w:rFonts w:ascii="Arial" w:hAnsi="Arial" w:cs="Arial"/>
          <w:bCs/>
        </w:rPr>
        <w:t>&amp;</w:t>
      </w:r>
      <w:r w:rsidR="00813825">
        <w:rPr>
          <w:rFonts w:ascii="Arial" w:hAnsi="Arial" w:cs="Arial"/>
          <w:bCs/>
        </w:rPr>
        <w:t xml:space="preserve"> </w:t>
      </w:r>
      <w:r w:rsidR="00163792" w:rsidRPr="00420097">
        <w:rPr>
          <w:rFonts w:ascii="Arial" w:hAnsi="Arial" w:cs="Arial"/>
          <w:bCs/>
        </w:rPr>
        <w:t>Meet</w:t>
      </w:r>
      <w:r w:rsidR="00CD3266">
        <w:rPr>
          <w:rFonts w:ascii="Arial" w:hAnsi="Arial" w:cs="Arial"/>
          <w:bCs/>
        </w:rPr>
        <w:t>, Call &amp; Meet</w:t>
      </w:r>
      <w:r w:rsidR="00163792" w:rsidRPr="00420097">
        <w:rPr>
          <w:rFonts w:ascii="Arial" w:hAnsi="Arial" w:cs="Arial"/>
          <w:bCs/>
        </w:rPr>
        <w:t xml:space="preserve"> und Click</w:t>
      </w:r>
      <w:r w:rsidR="00813825">
        <w:rPr>
          <w:rFonts w:ascii="Arial" w:hAnsi="Arial" w:cs="Arial"/>
          <w:bCs/>
        </w:rPr>
        <w:t xml:space="preserve"> </w:t>
      </w:r>
      <w:r w:rsidR="00163792" w:rsidRPr="00420097">
        <w:rPr>
          <w:rFonts w:ascii="Arial" w:hAnsi="Arial" w:cs="Arial"/>
          <w:bCs/>
        </w:rPr>
        <w:t>&amp;</w:t>
      </w:r>
      <w:r w:rsidR="00813825">
        <w:rPr>
          <w:rFonts w:ascii="Arial" w:hAnsi="Arial" w:cs="Arial"/>
          <w:bCs/>
        </w:rPr>
        <w:t xml:space="preserve"> Collect im Fokus vieler Händler</w:t>
      </w:r>
      <w:r w:rsidR="00163792" w:rsidRPr="00420097">
        <w:rPr>
          <w:rFonts w:ascii="Arial" w:hAnsi="Arial" w:cs="Arial"/>
          <w:bCs/>
        </w:rPr>
        <w:t>.</w:t>
      </w:r>
    </w:p>
    <w:p w14:paraId="0E217596" w14:textId="4F70E734" w:rsidR="00611812" w:rsidRPr="00420097" w:rsidRDefault="00611812" w:rsidP="00611812">
      <w:pPr>
        <w:pStyle w:val="Kopfzeile"/>
        <w:spacing w:before="120" w:line="360" w:lineRule="auto"/>
        <w:jc w:val="both"/>
        <w:rPr>
          <w:rFonts w:ascii="Arial" w:hAnsi="Arial" w:cs="Arial"/>
          <w:bCs/>
        </w:rPr>
      </w:pPr>
      <w:r>
        <w:rPr>
          <w:rFonts w:ascii="Arial" w:hAnsi="Arial" w:cs="Arial"/>
          <w:bCs/>
        </w:rPr>
        <w:t xml:space="preserve">Zahlreiche </w:t>
      </w:r>
      <w:r w:rsidRPr="00420097">
        <w:rPr>
          <w:rFonts w:ascii="Arial" w:hAnsi="Arial" w:cs="Arial"/>
          <w:bCs/>
        </w:rPr>
        <w:t>Händler, die bisher ihren Schwerpunkt auf den stationären Vertrieb gelegt haben</w:t>
      </w:r>
      <w:r>
        <w:rPr>
          <w:rFonts w:ascii="Arial" w:hAnsi="Arial" w:cs="Arial"/>
          <w:bCs/>
        </w:rPr>
        <w:t xml:space="preserve">, nutzten die Zeit, einen Online-Shop zu installieren bzw. den vorhandenen zu optimieren und erweiterten ihre Serviceleistung </w:t>
      </w:r>
      <w:r w:rsidRPr="00420097">
        <w:rPr>
          <w:rFonts w:ascii="Arial" w:hAnsi="Arial" w:cs="Arial"/>
          <w:bCs/>
        </w:rPr>
        <w:t xml:space="preserve">häufig </w:t>
      </w:r>
      <w:r>
        <w:rPr>
          <w:rFonts w:ascii="Arial" w:hAnsi="Arial" w:cs="Arial"/>
          <w:bCs/>
        </w:rPr>
        <w:t xml:space="preserve">um </w:t>
      </w:r>
      <w:r w:rsidRPr="00420097">
        <w:rPr>
          <w:rFonts w:ascii="Arial" w:hAnsi="Arial" w:cs="Arial"/>
          <w:bCs/>
        </w:rPr>
        <w:t>Click</w:t>
      </w:r>
      <w:r>
        <w:rPr>
          <w:rFonts w:ascii="Arial" w:hAnsi="Arial" w:cs="Arial"/>
          <w:bCs/>
        </w:rPr>
        <w:t xml:space="preserve"> &amp; Collect, Call </w:t>
      </w:r>
      <w:r w:rsidRPr="00420097">
        <w:rPr>
          <w:rFonts w:ascii="Arial" w:hAnsi="Arial" w:cs="Arial"/>
          <w:bCs/>
        </w:rPr>
        <w:t>&amp;</w:t>
      </w:r>
      <w:r>
        <w:rPr>
          <w:rFonts w:ascii="Arial" w:hAnsi="Arial" w:cs="Arial"/>
          <w:bCs/>
        </w:rPr>
        <w:t xml:space="preserve"> </w:t>
      </w:r>
      <w:r w:rsidRPr="00420097">
        <w:rPr>
          <w:rFonts w:ascii="Arial" w:hAnsi="Arial" w:cs="Arial"/>
          <w:bCs/>
        </w:rPr>
        <w:t xml:space="preserve">Collect </w:t>
      </w:r>
      <w:r>
        <w:rPr>
          <w:rFonts w:ascii="Arial" w:hAnsi="Arial" w:cs="Arial"/>
          <w:bCs/>
        </w:rPr>
        <w:t xml:space="preserve">sowie </w:t>
      </w:r>
      <w:r w:rsidRPr="00420097">
        <w:rPr>
          <w:rFonts w:ascii="Arial" w:hAnsi="Arial" w:cs="Arial"/>
          <w:bCs/>
        </w:rPr>
        <w:t>Click</w:t>
      </w:r>
      <w:r>
        <w:rPr>
          <w:rFonts w:ascii="Arial" w:hAnsi="Arial" w:cs="Arial"/>
          <w:bCs/>
        </w:rPr>
        <w:t xml:space="preserve"> </w:t>
      </w:r>
      <w:r w:rsidRPr="00420097">
        <w:rPr>
          <w:rFonts w:ascii="Arial" w:hAnsi="Arial" w:cs="Arial"/>
          <w:bCs/>
        </w:rPr>
        <w:t>&amp;</w:t>
      </w:r>
      <w:r>
        <w:rPr>
          <w:rFonts w:ascii="Arial" w:hAnsi="Arial" w:cs="Arial"/>
          <w:bCs/>
        </w:rPr>
        <w:t xml:space="preserve"> </w:t>
      </w:r>
      <w:r w:rsidRPr="00420097">
        <w:rPr>
          <w:rFonts w:ascii="Arial" w:hAnsi="Arial" w:cs="Arial"/>
          <w:bCs/>
        </w:rPr>
        <w:t>Meet. Geschäfte mit Öffnung für Terminkunden oder für begrenzte Kundenzahlen verzeichneten geringere Umsatzverluste.</w:t>
      </w:r>
    </w:p>
    <w:p w14:paraId="2C613598" w14:textId="06DA501D" w:rsidR="0032393B" w:rsidRPr="00420097" w:rsidRDefault="00CD3266" w:rsidP="00420097">
      <w:pPr>
        <w:pStyle w:val="Kopfzeile"/>
        <w:spacing w:before="120" w:line="360" w:lineRule="auto"/>
        <w:jc w:val="both"/>
        <w:rPr>
          <w:rFonts w:ascii="Arial" w:hAnsi="Arial" w:cs="Arial"/>
          <w:bCs/>
        </w:rPr>
      </w:pPr>
      <w:r>
        <w:rPr>
          <w:rFonts w:ascii="Arial" w:hAnsi="Arial" w:cs="Arial"/>
          <w:bCs/>
        </w:rPr>
        <w:t>Die</w:t>
      </w:r>
      <w:r w:rsidR="0032393B" w:rsidRPr="00420097">
        <w:rPr>
          <w:rFonts w:ascii="Arial" w:hAnsi="Arial" w:cs="Arial"/>
          <w:bCs/>
        </w:rPr>
        <w:t xml:space="preserve"> „neue</w:t>
      </w:r>
      <w:r>
        <w:rPr>
          <w:rFonts w:ascii="Arial" w:hAnsi="Arial" w:cs="Arial"/>
          <w:bCs/>
        </w:rPr>
        <w:t>n</w:t>
      </w:r>
      <w:r w:rsidR="0032393B" w:rsidRPr="00420097">
        <w:rPr>
          <w:rFonts w:ascii="Arial" w:hAnsi="Arial" w:cs="Arial"/>
          <w:bCs/>
        </w:rPr>
        <w:t>“ Shopping-Konzept</w:t>
      </w:r>
      <w:r>
        <w:rPr>
          <w:rFonts w:ascii="Arial" w:hAnsi="Arial" w:cs="Arial"/>
          <w:bCs/>
        </w:rPr>
        <w:t>e</w:t>
      </w:r>
      <w:r w:rsidR="0032393B" w:rsidRPr="00420097">
        <w:rPr>
          <w:rFonts w:ascii="Arial" w:hAnsi="Arial" w:cs="Arial"/>
          <w:bCs/>
        </w:rPr>
        <w:t xml:space="preserve"> Click</w:t>
      </w:r>
      <w:r w:rsidR="00813825">
        <w:rPr>
          <w:rFonts w:ascii="Arial" w:hAnsi="Arial" w:cs="Arial"/>
          <w:bCs/>
        </w:rPr>
        <w:t xml:space="preserve"> </w:t>
      </w:r>
      <w:r w:rsidR="0032393B" w:rsidRPr="00420097">
        <w:rPr>
          <w:rFonts w:ascii="Arial" w:hAnsi="Arial" w:cs="Arial"/>
          <w:bCs/>
        </w:rPr>
        <w:t>&amp;</w:t>
      </w:r>
      <w:r w:rsidR="00813825">
        <w:rPr>
          <w:rFonts w:ascii="Arial" w:hAnsi="Arial" w:cs="Arial"/>
          <w:bCs/>
        </w:rPr>
        <w:t xml:space="preserve"> </w:t>
      </w:r>
      <w:r w:rsidR="0032393B" w:rsidRPr="00420097">
        <w:rPr>
          <w:rFonts w:ascii="Arial" w:hAnsi="Arial" w:cs="Arial"/>
          <w:bCs/>
        </w:rPr>
        <w:t>Meet</w:t>
      </w:r>
      <w:r>
        <w:rPr>
          <w:rFonts w:ascii="Arial" w:hAnsi="Arial" w:cs="Arial"/>
          <w:bCs/>
        </w:rPr>
        <w:t xml:space="preserve"> und Call &amp; Meet erlaubten d</w:t>
      </w:r>
      <w:r w:rsidR="00813825">
        <w:rPr>
          <w:rFonts w:ascii="Arial" w:hAnsi="Arial" w:cs="Arial"/>
          <w:bCs/>
        </w:rPr>
        <w:t>ie Beratung und das Einkaufen in den Geschäften</w:t>
      </w:r>
      <w:r w:rsidR="0032393B" w:rsidRPr="00420097">
        <w:rPr>
          <w:rFonts w:ascii="Arial" w:hAnsi="Arial" w:cs="Arial"/>
          <w:bCs/>
        </w:rPr>
        <w:t xml:space="preserve"> </w:t>
      </w:r>
      <w:r w:rsidR="00813825">
        <w:rPr>
          <w:rFonts w:ascii="Arial" w:hAnsi="Arial" w:cs="Arial"/>
          <w:bCs/>
        </w:rPr>
        <w:t xml:space="preserve">vor Ort </w:t>
      </w:r>
      <w:r w:rsidR="0032393B" w:rsidRPr="00420097">
        <w:rPr>
          <w:rFonts w:ascii="Arial" w:hAnsi="Arial" w:cs="Arial"/>
          <w:bCs/>
        </w:rPr>
        <w:t>mit einem zuvor vereinbarten Termin.</w:t>
      </w:r>
      <w:r w:rsidR="0032393B" w:rsidRPr="00420097">
        <w:rPr>
          <w:rFonts w:ascii="Arial" w:hAnsi="Arial" w:cs="Arial"/>
        </w:rPr>
        <w:t xml:space="preserve"> </w:t>
      </w:r>
      <w:r w:rsidR="00322222" w:rsidRPr="00420097">
        <w:rPr>
          <w:rFonts w:ascii="Arial" w:hAnsi="Arial" w:cs="Arial"/>
          <w:bCs/>
        </w:rPr>
        <w:t>Bei Click</w:t>
      </w:r>
      <w:r w:rsidR="00813825">
        <w:rPr>
          <w:rFonts w:ascii="Arial" w:hAnsi="Arial" w:cs="Arial"/>
          <w:bCs/>
        </w:rPr>
        <w:t xml:space="preserve"> </w:t>
      </w:r>
      <w:r w:rsidR="00322222" w:rsidRPr="00420097">
        <w:rPr>
          <w:rFonts w:ascii="Arial" w:hAnsi="Arial" w:cs="Arial"/>
          <w:bCs/>
        </w:rPr>
        <w:t>&amp;</w:t>
      </w:r>
      <w:r w:rsidR="00813825">
        <w:rPr>
          <w:rFonts w:ascii="Arial" w:hAnsi="Arial" w:cs="Arial"/>
          <w:bCs/>
        </w:rPr>
        <w:t xml:space="preserve"> </w:t>
      </w:r>
      <w:r w:rsidR="00322222" w:rsidRPr="00420097">
        <w:rPr>
          <w:rFonts w:ascii="Arial" w:hAnsi="Arial" w:cs="Arial"/>
          <w:bCs/>
        </w:rPr>
        <w:t xml:space="preserve">Collect wird </w:t>
      </w:r>
      <w:r w:rsidR="0032393B" w:rsidRPr="00420097">
        <w:rPr>
          <w:rFonts w:ascii="Arial" w:hAnsi="Arial" w:cs="Arial"/>
          <w:bCs/>
        </w:rPr>
        <w:t xml:space="preserve">die </w:t>
      </w:r>
      <w:r w:rsidR="0032393B" w:rsidRPr="00420097">
        <w:rPr>
          <w:rFonts w:ascii="Arial" w:hAnsi="Arial" w:cs="Arial"/>
          <w:bCs/>
        </w:rPr>
        <w:lastRenderedPageBreak/>
        <w:t>Ware online präsentiert</w:t>
      </w:r>
      <w:r w:rsidR="00813825">
        <w:rPr>
          <w:rFonts w:ascii="Arial" w:hAnsi="Arial" w:cs="Arial"/>
          <w:bCs/>
        </w:rPr>
        <w:t xml:space="preserve"> und ausgewählt, für den Kunden zur Abholung bereitgestellt</w:t>
      </w:r>
      <w:r w:rsidR="0032393B" w:rsidRPr="00420097">
        <w:rPr>
          <w:rFonts w:ascii="Arial" w:hAnsi="Arial" w:cs="Arial"/>
          <w:bCs/>
        </w:rPr>
        <w:t xml:space="preserve">. Das kann </w:t>
      </w:r>
      <w:r w:rsidR="00813825">
        <w:rPr>
          <w:rFonts w:ascii="Arial" w:hAnsi="Arial" w:cs="Arial"/>
          <w:bCs/>
        </w:rPr>
        <w:t>über den eigenen</w:t>
      </w:r>
      <w:r w:rsidR="0032393B" w:rsidRPr="00420097">
        <w:rPr>
          <w:rFonts w:ascii="Arial" w:hAnsi="Arial" w:cs="Arial"/>
          <w:bCs/>
        </w:rPr>
        <w:t xml:space="preserve"> Online-Shop, </w:t>
      </w:r>
      <w:r w:rsidR="00813825">
        <w:rPr>
          <w:rFonts w:ascii="Arial" w:hAnsi="Arial" w:cs="Arial"/>
          <w:bCs/>
        </w:rPr>
        <w:t xml:space="preserve">über die Website oder aber über die </w:t>
      </w:r>
      <w:r w:rsidR="0032393B" w:rsidRPr="00420097">
        <w:rPr>
          <w:rFonts w:ascii="Arial" w:hAnsi="Arial" w:cs="Arial"/>
          <w:bCs/>
        </w:rPr>
        <w:t>sozialen Medien</w:t>
      </w:r>
      <w:r w:rsidR="00813825">
        <w:rPr>
          <w:rFonts w:ascii="Arial" w:hAnsi="Arial" w:cs="Arial"/>
          <w:bCs/>
        </w:rPr>
        <w:t xml:space="preserve"> und Messenger</w:t>
      </w:r>
      <w:r w:rsidR="0032393B" w:rsidRPr="00420097">
        <w:rPr>
          <w:rFonts w:ascii="Arial" w:hAnsi="Arial" w:cs="Arial"/>
          <w:bCs/>
        </w:rPr>
        <w:t xml:space="preserve"> </w:t>
      </w:r>
      <w:r w:rsidR="00813825">
        <w:rPr>
          <w:rFonts w:ascii="Arial" w:hAnsi="Arial" w:cs="Arial"/>
          <w:bCs/>
        </w:rPr>
        <w:t>vorgenommen werden</w:t>
      </w:r>
      <w:r w:rsidR="0032393B" w:rsidRPr="00420097">
        <w:rPr>
          <w:rFonts w:ascii="Arial" w:hAnsi="Arial" w:cs="Arial"/>
          <w:bCs/>
        </w:rPr>
        <w:t xml:space="preserve">. </w:t>
      </w:r>
    </w:p>
    <w:p w14:paraId="6126D97B" w14:textId="659A1EFF" w:rsidR="0098187A" w:rsidRPr="00420097" w:rsidRDefault="0098187A" w:rsidP="00420097">
      <w:pPr>
        <w:pStyle w:val="Kopfzeile"/>
        <w:spacing w:before="120" w:line="360" w:lineRule="auto"/>
        <w:jc w:val="both"/>
        <w:rPr>
          <w:rFonts w:ascii="Arial" w:hAnsi="Arial" w:cs="Arial"/>
          <w:bCs/>
        </w:rPr>
      </w:pPr>
      <w:r w:rsidRPr="00420097">
        <w:rPr>
          <w:rFonts w:ascii="Arial" w:hAnsi="Arial" w:cs="Arial"/>
          <w:bCs/>
        </w:rPr>
        <w:t>In vielen Fällen haben die Kunden nach wie vor auf Online-Beratungsmaßnahmen zurückgegriffen. Einige Händler boten beispielsweise die Beratung über Skype und FaceTime an, andere griffen auf Telefon und E-Mail zurück. Der Möbelhandel war so uneingeschränkt zu erreichen und für den Kunden da.</w:t>
      </w:r>
    </w:p>
    <w:p w14:paraId="45BD7B73" w14:textId="37789329" w:rsidR="008A362B" w:rsidRPr="00420097" w:rsidRDefault="00E4163C" w:rsidP="00420097">
      <w:pPr>
        <w:pStyle w:val="Kopfzeile"/>
        <w:spacing w:before="120" w:line="360" w:lineRule="auto"/>
        <w:jc w:val="both"/>
        <w:rPr>
          <w:rFonts w:ascii="Arial" w:hAnsi="Arial" w:cs="Arial"/>
          <w:bCs/>
        </w:rPr>
      </w:pPr>
      <w:r w:rsidRPr="00420097">
        <w:rPr>
          <w:rFonts w:ascii="Arial" w:hAnsi="Arial" w:cs="Arial"/>
          <w:bCs/>
        </w:rPr>
        <w:t>Das Einkaufen mit Termin</w:t>
      </w:r>
      <w:r w:rsidR="00322222" w:rsidRPr="00420097">
        <w:rPr>
          <w:rFonts w:ascii="Arial" w:hAnsi="Arial" w:cs="Arial"/>
          <w:bCs/>
        </w:rPr>
        <w:t xml:space="preserve"> bz</w:t>
      </w:r>
      <w:r w:rsidR="008A362B" w:rsidRPr="00420097">
        <w:rPr>
          <w:rFonts w:ascii="Arial" w:hAnsi="Arial" w:cs="Arial"/>
          <w:bCs/>
        </w:rPr>
        <w:t>w. das Abholen der Produkte i</w:t>
      </w:r>
      <w:r w:rsidR="00322222" w:rsidRPr="00420097">
        <w:rPr>
          <w:rFonts w:ascii="Arial" w:hAnsi="Arial" w:cs="Arial"/>
          <w:bCs/>
        </w:rPr>
        <w:t xml:space="preserve">m Ladengeschäft </w:t>
      </w:r>
      <w:r w:rsidRPr="00420097">
        <w:rPr>
          <w:rFonts w:ascii="Arial" w:hAnsi="Arial" w:cs="Arial"/>
          <w:bCs/>
        </w:rPr>
        <w:t xml:space="preserve">war </w:t>
      </w:r>
      <w:r w:rsidR="00322222" w:rsidRPr="00420097">
        <w:rPr>
          <w:rFonts w:ascii="Arial" w:hAnsi="Arial" w:cs="Arial"/>
          <w:bCs/>
        </w:rPr>
        <w:t xml:space="preserve">im Frühjahr 2021 </w:t>
      </w:r>
      <w:r w:rsidRPr="00420097">
        <w:rPr>
          <w:rFonts w:ascii="Arial" w:hAnsi="Arial" w:cs="Arial"/>
          <w:bCs/>
        </w:rPr>
        <w:t>ei</w:t>
      </w:r>
      <w:r w:rsidR="00322222" w:rsidRPr="00420097">
        <w:rPr>
          <w:rFonts w:ascii="Arial" w:hAnsi="Arial" w:cs="Arial"/>
          <w:bCs/>
        </w:rPr>
        <w:t xml:space="preserve">n erster Schritt, konnte aber keine </w:t>
      </w:r>
      <w:r w:rsidRPr="00420097">
        <w:rPr>
          <w:rFonts w:ascii="Arial" w:hAnsi="Arial" w:cs="Arial"/>
          <w:bCs/>
        </w:rPr>
        <w:t>dauerhafte Öffnungsstrategie</w:t>
      </w:r>
      <w:r w:rsidR="008A362B" w:rsidRPr="00420097">
        <w:rPr>
          <w:rFonts w:ascii="Arial" w:hAnsi="Arial" w:cs="Arial"/>
          <w:bCs/>
        </w:rPr>
        <w:t xml:space="preserve"> sein</w:t>
      </w:r>
      <w:r w:rsidRPr="00420097">
        <w:rPr>
          <w:rFonts w:ascii="Arial" w:hAnsi="Arial" w:cs="Arial"/>
          <w:bCs/>
        </w:rPr>
        <w:t xml:space="preserve">. </w:t>
      </w:r>
      <w:r w:rsidR="008A362B" w:rsidRPr="00420097">
        <w:rPr>
          <w:rFonts w:ascii="Arial" w:hAnsi="Arial" w:cs="Arial"/>
          <w:bCs/>
        </w:rPr>
        <w:t>Anfang März 2021</w:t>
      </w:r>
      <w:r w:rsidR="0092441C">
        <w:rPr>
          <w:rFonts w:ascii="Arial" w:hAnsi="Arial" w:cs="Arial"/>
          <w:bCs/>
        </w:rPr>
        <w:t xml:space="preserve"> wurden</w:t>
      </w:r>
      <w:r w:rsidR="008A362B" w:rsidRPr="00420097">
        <w:rPr>
          <w:rFonts w:ascii="Arial" w:hAnsi="Arial" w:cs="Arial"/>
        </w:rPr>
        <w:t xml:space="preserve"> a</w:t>
      </w:r>
      <w:r w:rsidR="008A362B" w:rsidRPr="00420097">
        <w:rPr>
          <w:rFonts w:ascii="Arial" w:hAnsi="Arial" w:cs="Arial"/>
          <w:bCs/>
        </w:rPr>
        <w:t xml:space="preserve">ngesichts sinkender Infektionszahlen Bereiche der Schule und der Kinderbetreuung </w:t>
      </w:r>
      <w:r w:rsidR="007901C4">
        <w:rPr>
          <w:rFonts w:ascii="Arial" w:hAnsi="Arial" w:cs="Arial"/>
          <w:bCs/>
        </w:rPr>
        <w:t xml:space="preserve">sowie bundesweit Friseurbetriebe unter Hygieneauflagen </w:t>
      </w:r>
      <w:r w:rsidR="008A362B" w:rsidRPr="00420097">
        <w:rPr>
          <w:rFonts w:ascii="Arial" w:hAnsi="Arial" w:cs="Arial"/>
          <w:bCs/>
        </w:rPr>
        <w:t xml:space="preserve">wieder </w:t>
      </w:r>
      <w:r w:rsidR="0092441C">
        <w:rPr>
          <w:rFonts w:ascii="Arial" w:hAnsi="Arial" w:cs="Arial"/>
          <w:bCs/>
        </w:rPr>
        <w:t>ge</w:t>
      </w:r>
      <w:r w:rsidR="008A362B" w:rsidRPr="00420097">
        <w:rPr>
          <w:rFonts w:ascii="Arial" w:hAnsi="Arial" w:cs="Arial"/>
          <w:bCs/>
        </w:rPr>
        <w:t>öffne</w:t>
      </w:r>
      <w:r w:rsidR="0092441C">
        <w:rPr>
          <w:rFonts w:ascii="Arial" w:hAnsi="Arial" w:cs="Arial"/>
          <w:bCs/>
        </w:rPr>
        <w:t>t</w:t>
      </w:r>
      <w:r w:rsidR="008A362B" w:rsidRPr="00420097">
        <w:rPr>
          <w:rFonts w:ascii="Arial" w:hAnsi="Arial" w:cs="Arial"/>
          <w:bCs/>
        </w:rPr>
        <w:t>. Bei einer stabilen oder sinkenden 7-Tage-Inzidenz zwischen 35 und 100 Neuinfektionen</w:t>
      </w:r>
      <w:r w:rsidR="007901C4">
        <w:rPr>
          <w:rFonts w:ascii="Arial" w:hAnsi="Arial" w:cs="Arial"/>
          <w:bCs/>
        </w:rPr>
        <w:t xml:space="preserve"> pro </w:t>
      </w:r>
      <w:r w:rsidR="008A362B" w:rsidRPr="00420097">
        <w:rPr>
          <w:rFonts w:ascii="Arial" w:hAnsi="Arial" w:cs="Arial"/>
          <w:bCs/>
        </w:rPr>
        <w:t>100.000 Einwohner gab es wieder Öffnungsmöglichkeiten im Non-Food-Einzelhandel. Dabei war die Zahl der Kunden im Geschäft begrenzt – auf eine Kundin oder einen Kunden pro 10 Quadratmeter für die ersten 800 Quadratmeter Verkaufsfläche und einem weiteren für jede weiteren 20 Quadratmeter.</w:t>
      </w:r>
    </w:p>
    <w:p w14:paraId="786ED9ED" w14:textId="2CD529DA" w:rsidR="0074198D" w:rsidRPr="00420097" w:rsidRDefault="0074198D" w:rsidP="00420097">
      <w:pPr>
        <w:pStyle w:val="Kopfzeile"/>
        <w:spacing w:before="120" w:line="360" w:lineRule="auto"/>
        <w:jc w:val="both"/>
        <w:rPr>
          <w:rFonts w:ascii="Arial" w:hAnsi="Arial" w:cs="Arial"/>
          <w:bCs/>
        </w:rPr>
      </w:pPr>
      <w:r w:rsidRPr="00420097">
        <w:rPr>
          <w:rFonts w:ascii="Arial" w:hAnsi="Arial" w:cs="Arial"/>
          <w:bCs/>
        </w:rPr>
        <w:t>Ü</w:t>
      </w:r>
      <w:r w:rsidR="00700186">
        <w:rPr>
          <w:rFonts w:ascii="Arial" w:hAnsi="Arial" w:cs="Arial"/>
          <w:bCs/>
        </w:rPr>
        <w:t>ber den Sommer hinweg gab es keine Einschränkungen für den stationären Einzelhandel</w:t>
      </w:r>
      <w:r w:rsidRPr="00420097">
        <w:rPr>
          <w:rFonts w:ascii="Arial" w:hAnsi="Arial" w:cs="Arial"/>
          <w:bCs/>
        </w:rPr>
        <w:t>.</w:t>
      </w:r>
    </w:p>
    <w:p w14:paraId="2BE42CBD" w14:textId="289018AB" w:rsidR="00E4163C" w:rsidRPr="00420097" w:rsidRDefault="008A362B" w:rsidP="00420097">
      <w:pPr>
        <w:pStyle w:val="Kopfzeile"/>
        <w:spacing w:before="120" w:line="360" w:lineRule="auto"/>
        <w:jc w:val="both"/>
        <w:rPr>
          <w:rFonts w:ascii="Arial" w:hAnsi="Arial" w:cs="Arial"/>
          <w:bCs/>
        </w:rPr>
      </w:pPr>
      <w:r w:rsidRPr="00420097">
        <w:rPr>
          <w:rFonts w:ascii="Arial" w:hAnsi="Arial" w:cs="Arial"/>
          <w:bCs/>
        </w:rPr>
        <w:t xml:space="preserve">Mit </w:t>
      </w:r>
      <w:r w:rsidR="0074198D" w:rsidRPr="00420097">
        <w:rPr>
          <w:rFonts w:ascii="Arial" w:hAnsi="Arial" w:cs="Arial"/>
          <w:bCs/>
        </w:rPr>
        <w:t>diesen</w:t>
      </w:r>
      <w:r w:rsidRPr="00420097">
        <w:rPr>
          <w:rFonts w:ascii="Arial" w:hAnsi="Arial" w:cs="Arial"/>
          <w:bCs/>
        </w:rPr>
        <w:t xml:space="preserve"> m</w:t>
      </w:r>
      <w:r w:rsidR="008D34A2">
        <w:rPr>
          <w:rFonts w:ascii="Arial" w:hAnsi="Arial" w:cs="Arial"/>
          <w:bCs/>
        </w:rPr>
        <w:t>usste der Non-Food-Fachhandel ab</w:t>
      </w:r>
      <w:r w:rsidRPr="00420097">
        <w:rPr>
          <w:rFonts w:ascii="Arial" w:hAnsi="Arial" w:cs="Arial"/>
          <w:bCs/>
        </w:rPr>
        <w:t xml:space="preserve"> Herbst 2021 rechnen. </w:t>
      </w:r>
      <w:r w:rsidR="00163792" w:rsidRPr="00420097">
        <w:rPr>
          <w:rFonts w:ascii="Arial" w:hAnsi="Arial" w:cs="Arial"/>
          <w:bCs/>
        </w:rPr>
        <w:t>Bela</w:t>
      </w:r>
      <w:r w:rsidRPr="00420097">
        <w:rPr>
          <w:rFonts w:ascii="Arial" w:hAnsi="Arial" w:cs="Arial"/>
          <w:bCs/>
        </w:rPr>
        <w:t xml:space="preserve">stet wurden die Händler </w:t>
      </w:r>
      <w:r w:rsidR="000827B6" w:rsidRPr="00420097">
        <w:rPr>
          <w:rFonts w:ascii="Arial" w:hAnsi="Arial" w:cs="Arial"/>
          <w:bCs/>
        </w:rPr>
        <w:t>Ende Oktober mit</w:t>
      </w:r>
      <w:r w:rsidRPr="00420097">
        <w:rPr>
          <w:rFonts w:ascii="Arial" w:hAnsi="Arial" w:cs="Arial"/>
          <w:bCs/>
        </w:rPr>
        <w:t xml:space="preserve"> </w:t>
      </w:r>
      <w:r w:rsidR="00163792" w:rsidRPr="00420097">
        <w:rPr>
          <w:rFonts w:ascii="Arial" w:hAnsi="Arial" w:cs="Arial"/>
          <w:bCs/>
        </w:rPr>
        <w:t>verschärften Corona-Regeln. Mit Ausnahme von Geschäften des täglichen Bedarfs wie Supermärkte und Drogerien</w:t>
      </w:r>
      <w:r w:rsidR="0084436D">
        <w:rPr>
          <w:rFonts w:ascii="Arial" w:hAnsi="Arial" w:cs="Arial"/>
          <w:bCs/>
        </w:rPr>
        <w:t>,</w:t>
      </w:r>
      <w:r w:rsidR="00163792" w:rsidRPr="00420097">
        <w:rPr>
          <w:rFonts w:ascii="Arial" w:hAnsi="Arial" w:cs="Arial"/>
          <w:bCs/>
        </w:rPr>
        <w:t xml:space="preserve"> du</w:t>
      </w:r>
      <w:r w:rsidRPr="00420097">
        <w:rPr>
          <w:rFonts w:ascii="Arial" w:hAnsi="Arial" w:cs="Arial"/>
          <w:bCs/>
        </w:rPr>
        <w:t>rften</w:t>
      </w:r>
      <w:r w:rsidR="00163792" w:rsidRPr="00420097">
        <w:rPr>
          <w:rFonts w:ascii="Arial" w:hAnsi="Arial" w:cs="Arial"/>
          <w:bCs/>
        </w:rPr>
        <w:t xml:space="preserve"> wegen der vierten Corona-Welle nur Geimpfte oder Genesene (2G) die Läden betreten. Zudem wird die Branche von Lieferproblemen geplagt: Ausgerechnet in der umsatzstarken Z</w:t>
      </w:r>
      <w:r w:rsidR="001126E8">
        <w:rPr>
          <w:rFonts w:ascii="Arial" w:hAnsi="Arial" w:cs="Arial"/>
          <w:bCs/>
        </w:rPr>
        <w:t>eit vor Weihnachten klagten rund zwei Drittel</w:t>
      </w:r>
      <w:r w:rsidR="00163792" w:rsidRPr="00420097">
        <w:rPr>
          <w:rFonts w:ascii="Arial" w:hAnsi="Arial" w:cs="Arial"/>
          <w:bCs/>
        </w:rPr>
        <w:t xml:space="preserve"> der Einzelhändler, nicht alle Produkte anbieten zu können</w:t>
      </w:r>
      <w:r w:rsidRPr="00420097">
        <w:rPr>
          <w:rFonts w:ascii="Arial" w:hAnsi="Arial" w:cs="Arial"/>
          <w:bCs/>
        </w:rPr>
        <w:t>.</w:t>
      </w:r>
    </w:p>
    <w:p w14:paraId="185218FD" w14:textId="4343BB2A" w:rsidR="007704B3" w:rsidRPr="00420097" w:rsidRDefault="007704B3" w:rsidP="008D34A2">
      <w:pPr>
        <w:pStyle w:val="Kopfzeile"/>
        <w:tabs>
          <w:tab w:val="clear" w:pos="4536"/>
          <w:tab w:val="clear" w:pos="9072"/>
        </w:tabs>
        <w:spacing w:before="240" w:line="360" w:lineRule="auto"/>
        <w:jc w:val="both"/>
        <w:rPr>
          <w:rFonts w:ascii="Arial" w:hAnsi="Arial" w:cs="Arial"/>
          <w:b/>
          <w:bCs/>
        </w:rPr>
      </w:pPr>
      <w:r w:rsidRPr="00420097">
        <w:rPr>
          <w:rFonts w:ascii="Arial" w:hAnsi="Arial" w:cs="Arial"/>
          <w:b/>
          <w:bCs/>
        </w:rPr>
        <w:t>Die Entwicklung des Möbel- und Küchenhandels</w:t>
      </w:r>
    </w:p>
    <w:p w14:paraId="0AF484CE" w14:textId="4E4CFC0C" w:rsidR="000827B6" w:rsidRPr="007901C4" w:rsidRDefault="000827B6" w:rsidP="007901C4">
      <w:pPr>
        <w:pStyle w:val="Kopfzeile"/>
        <w:spacing w:before="120" w:line="360" w:lineRule="auto"/>
        <w:jc w:val="both"/>
        <w:rPr>
          <w:rFonts w:ascii="Arial" w:hAnsi="Arial" w:cs="Arial"/>
          <w:bCs/>
        </w:rPr>
      </w:pPr>
      <w:r w:rsidRPr="007901C4">
        <w:rPr>
          <w:rFonts w:ascii="Arial" w:hAnsi="Arial" w:cs="Arial"/>
          <w:bCs/>
        </w:rPr>
        <w:t xml:space="preserve">Die Umsatzentwicklung zeigte sich im Küchenhandel sowie </w:t>
      </w:r>
      <w:r w:rsidR="001126E8">
        <w:rPr>
          <w:rFonts w:ascii="Arial" w:hAnsi="Arial" w:cs="Arial"/>
          <w:bCs/>
        </w:rPr>
        <w:t xml:space="preserve">im </w:t>
      </w:r>
      <w:r w:rsidR="00183BDE" w:rsidRPr="007901C4">
        <w:rPr>
          <w:rFonts w:ascii="Arial" w:hAnsi="Arial" w:cs="Arial"/>
          <w:bCs/>
        </w:rPr>
        <w:t>Büromöbel</w:t>
      </w:r>
      <w:r w:rsidR="001126E8">
        <w:rPr>
          <w:rFonts w:ascii="Arial" w:hAnsi="Arial" w:cs="Arial"/>
          <w:bCs/>
        </w:rPr>
        <w:t>sektor</w:t>
      </w:r>
      <w:r w:rsidR="00183BDE" w:rsidRPr="007901C4">
        <w:rPr>
          <w:rFonts w:ascii="Arial" w:hAnsi="Arial" w:cs="Arial"/>
          <w:bCs/>
        </w:rPr>
        <w:t xml:space="preserve"> </w:t>
      </w:r>
      <w:r w:rsidRPr="007901C4">
        <w:rPr>
          <w:rFonts w:ascii="Arial" w:hAnsi="Arial" w:cs="Arial"/>
          <w:bCs/>
        </w:rPr>
        <w:t>im Jahresverlauf durchgehend positiv</w:t>
      </w:r>
      <w:r w:rsidR="00183BDE" w:rsidRPr="007901C4">
        <w:rPr>
          <w:rFonts w:ascii="Arial" w:hAnsi="Arial" w:cs="Arial"/>
          <w:bCs/>
        </w:rPr>
        <w:t xml:space="preserve">. Der Küchenhandel </w:t>
      </w:r>
      <w:r w:rsidRPr="007901C4">
        <w:rPr>
          <w:rFonts w:ascii="Arial" w:hAnsi="Arial" w:cs="Arial"/>
          <w:bCs/>
        </w:rPr>
        <w:t xml:space="preserve">schließt </w:t>
      </w:r>
      <w:r w:rsidR="007901C4">
        <w:rPr>
          <w:rFonts w:ascii="Arial" w:hAnsi="Arial" w:cs="Arial"/>
          <w:bCs/>
        </w:rPr>
        <w:t>2021</w:t>
      </w:r>
      <w:r w:rsidRPr="007901C4">
        <w:rPr>
          <w:rFonts w:ascii="Arial" w:hAnsi="Arial" w:cs="Arial"/>
          <w:bCs/>
        </w:rPr>
        <w:t xml:space="preserve"> mit </w:t>
      </w:r>
      <w:r w:rsidR="007901C4">
        <w:rPr>
          <w:rFonts w:ascii="Arial" w:hAnsi="Arial" w:cs="Arial"/>
          <w:bCs/>
        </w:rPr>
        <w:t xml:space="preserve">einem </w:t>
      </w:r>
      <w:r w:rsidRPr="007901C4">
        <w:rPr>
          <w:rFonts w:ascii="Arial" w:hAnsi="Arial" w:cs="Arial"/>
          <w:bCs/>
        </w:rPr>
        <w:t xml:space="preserve">Wachstum </w:t>
      </w:r>
      <w:r w:rsidR="007901C4">
        <w:rPr>
          <w:rFonts w:ascii="Arial" w:hAnsi="Arial" w:cs="Arial"/>
          <w:bCs/>
        </w:rPr>
        <w:t xml:space="preserve">von rund </w:t>
      </w:r>
      <w:r w:rsidR="007901C4">
        <w:rPr>
          <w:rFonts w:ascii="Arial" w:hAnsi="Arial" w:cs="Arial"/>
          <w:bCs/>
        </w:rPr>
        <w:lastRenderedPageBreak/>
        <w:t>8</w:t>
      </w:r>
      <w:r w:rsidR="0037292C">
        <w:rPr>
          <w:rFonts w:ascii="Arial" w:hAnsi="Arial" w:cs="Arial"/>
          <w:bCs/>
        </w:rPr>
        <w:t> </w:t>
      </w:r>
      <w:r w:rsidR="007901C4">
        <w:rPr>
          <w:rFonts w:ascii="Arial" w:hAnsi="Arial" w:cs="Arial"/>
          <w:bCs/>
        </w:rPr>
        <w:t xml:space="preserve">Prozent </w:t>
      </w:r>
      <w:r w:rsidRPr="007901C4">
        <w:rPr>
          <w:rFonts w:ascii="Arial" w:hAnsi="Arial" w:cs="Arial"/>
          <w:bCs/>
        </w:rPr>
        <w:t>gegenüber dem Vorjahreszeitraum</w:t>
      </w:r>
      <w:r w:rsidR="007901C4">
        <w:rPr>
          <w:rFonts w:ascii="Arial" w:hAnsi="Arial" w:cs="Arial"/>
          <w:bCs/>
        </w:rPr>
        <w:t xml:space="preserve"> ab</w:t>
      </w:r>
      <w:r w:rsidR="00183BDE" w:rsidRPr="007901C4">
        <w:rPr>
          <w:rFonts w:ascii="Arial" w:hAnsi="Arial" w:cs="Arial"/>
          <w:bCs/>
        </w:rPr>
        <w:t>, bei Büromöbeln konnte das Umsatzwachstum gegenüber dem Vorjahr sogar um 10</w:t>
      </w:r>
      <w:r w:rsidR="0037292C">
        <w:rPr>
          <w:rFonts w:ascii="Arial" w:hAnsi="Arial" w:cs="Arial"/>
          <w:bCs/>
        </w:rPr>
        <w:t> </w:t>
      </w:r>
      <w:r w:rsidR="007901C4">
        <w:rPr>
          <w:rFonts w:ascii="Arial" w:hAnsi="Arial" w:cs="Arial"/>
          <w:bCs/>
        </w:rPr>
        <w:t>Prozent</w:t>
      </w:r>
      <w:r w:rsidR="00183BDE" w:rsidRPr="007901C4">
        <w:rPr>
          <w:rFonts w:ascii="Arial" w:hAnsi="Arial" w:cs="Arial"/>
          <w:bCs/>
        </w:rPr>
        <w:t xml:space="preserve"> gesteigert werden</w:t>
      </w:r>
      <w:r w:rsidR="007901C4">
        <w:rPr>
          <w:rFonts w:ascii="Arial" w:hAnsi="Arial" w:cs="Arial"/>
          <w:bCs/>
        </w:rPr>
        <w:t xml:space="preserve"> und bei den Polstermöbeln um 3</w:t>
      </w:r>
      <w:r w:rsidR="0037292C">
        <w:rPr>
          <w:rFonts w:ascii="Arial" w:hAnsi="Arial" w:cs="Arial"/>
          <w:bCs/>
        </w:rPr>
        <w:t> </w:t>
      </w:r>
      <w:r w:rsidR="007901C4">
        <w:rPr>
          <w:rFonts w:ascii="Arial" w:hAnsi="Arial" w:cs="Arial"/>
          <w:bCs/>
        </w:rPr>
        <w:t xml:space="preserve">Prozent. Dem gegenüber stehen </w:t>
      </w:r>
      <w:r w:rsidR="00183BDE" w:rsidRPr="007901C4">
        <w:rPr>
          <w:rFonts w:ascii="Arial" w:hAnsi="Arial" w:cs="Arial"/>
          <w:bCs/>
        </w:rPr>
        <w:t xml:space="preserve">Umsatzeinbußen </w:t>
      </w:r>
      <w:r w:rsidR="007901C4">
        <w:rPr>
          <w:rFonts w:ascii="Arial" w:hAnsi="Arial" w:cs="Arial"/>
          <w:bCs/>
        </w:rPr>
        <w:t xml:space="preserve">von </w:t>
      </w:r>
      <w:r w:rsidR="00183BDE" w:rsidRPr="007901C4">
        <w:rPr>
          <w:rFonts w:ascii="Arial" w:hAnsi="Arial" w:cs="Arial"/>
          <w:bCs/>
        </w:rPr>
        <w:t>rund 9</w:t>
      </w:r>
      <w:r w:rsidR="0037292C">
        <w:rPr>
          <w:rFonts w:ascii="Arial" w:hAnsi="Arial" w:cs="Arial"/>
          <w:bCs/>
        </w:rPr>
        <w:t> </w:t>
      </w:r>
      <w:r w:rsidR="007901C4">
        <w:rPr>
          <w:rFonts w:ascii="Arial" w:hAnsi="Arial" w:cs="Arial"/>
          <w:bCs/>
        </w:rPr>
        <w:t>Prozent</w:t>
      </w:r>
      <w:r w:rsidR="00183BDE" w:rsidRPr="007901C4">
        <w:rPr>
          <w:rFonts w:ascii="Arial" w:hAnsi="Arial" w:cs="Arial"/>
          <w:bCs/>
        </w:rPr>
        <w:t xml:space="preserve"> bei </w:t>
      </w:r>
      <w:r w:rsidR="007901C4">
        <w:rPr>
          <w:rFonts w:ascii="Arial" w:hAnsi="Arial" w:cs="Arial"/>
          <w:bCs/>
        </w:rPr>
        <w:t xml:space="preserve">der Hauptwarengruppe </w:t>
      </w:r>
      <w:r w:rsidR="00183BDE" w:rsidRPr="007901C4">
        <w:rPr>
          <w:rFonts w:ascii="Arial" w:hAnsi="Arial" w:cs="Arial"/>
          <w:bCs/>
        </w:rPr>
        <w:t>Matratzen und 6</w:t>
      </w:r>
      <w:r w:rsidR="007901C4">
        <w:rPr>
          <w:rFonts w:ascii="Arial" w:hAnsi="Arial" w:cs="Arial"/>
          <w:bCs/>
        </w:rPr>
        <w:t xml:space="preserve"> Prozent </w:t>
      </w:r>
      <w:r w:rsidR="00183BDE" w:rsidRPr="007901C4">
        <w:rPr>
          <w:rFonts w:ascii="Arial" w:hAnsi="Arial" w:cs="Arial"/>
          <w:bCs/>
        </w:rPr>
        <w:t xml:space="preserve">bei </w:t>
      </w:r>
      <w:r w:rsidR="007901C4">
        <w:rPr>
          <w:rFonts w:ascii="Arial" w:hAnsi="Arial" w:cs="Arial"/>
          <w:bCs/>
        </w:rPr>
        <w:t xml:space="preserve">den </w:t>
      </w:r>
      <w:r w:rsidR="00183BDE" w:rsidRPr="007901C4">
        <w:rPr>
          <w:rFonts w:ascii="Arial" w:hAnsi="Arial" w:cs="Arial"/>
          <w:bCs/>
        </w:rPr>
        <w:t>Garten- und son</w:t>
      </w:r>
      <w:r w:rsidR="007901C4">
        <w:rPr>
          <w:rFonts w:ascii="Arial" w:hAnsi="Arial" w:cs="Arial"/>
          <w:bCs/>
        </w:rPr>
        <w:t>stigen Wohnmöbeln</w:t>
      </w:r>
      <w:r w:rsidR="00183BDE" w:rsidRPr="007901C4">
        <w:rPr>
          <w:rFonts w:ascii="Arial" w:hAnsi="Arial" w:cs="Arial"/>
          <w:bCs/>
        </w:rPr>
        <w:t>.</w:t>
      </w:r>
    </w:p>
    <w:p w14:paraId="5CE1F03A" w14:textId="45276138" w:rsidR="00183BDE" w:rsidRPr="007901C4" w:rsidRDefault="00BA641C" w:rsidP="007901C4">
      <w:pPr>
        <w:pStyle w:val="Kopfzeile"/>
        <w:spacing w:before="120" w:line="360" w:lineRule="auto"/>
        <w:jc w:val="both"/>
        <w:rPr>
          <w:rFonts w:ascii="Arial" w:hAnsi="Arial" w:cs="Arial"/>
          <w:bCs/>
        </w:rPr>
      </w:pPr>
      <w:r w:rsidRPr="007901C4">
        <w:rPr>
          <w:rFonts w:ascii="Arial" w:hAnsi="Arial" w:cs="Arial"/>
          <w:bCs/>
        </w:rPr>
        <w:t xml:space="preserve">Der Küchenhandel profitierte in 2021 erneut von den Corona-Unsicherheiten und </w:t>
      </w:r>
      <w:r w:rsidR="0074050A" w:rsidRPr="007901C4">
        <w:rPr>
          <w:rFonts w:ascii="Arial" w:hAnsi="Arial" w:cs="Arial"/>
          <w:bCs/>
        </w:rPr>
        <w:t>die Menschen legten großen Wert auf Wohnlichkeit und Gemütlichkeit. Es wurde auch im zwe</w:t>
      </w:r>
      <w:r w:rsidR="00B739D4" w:rsidRPr="007901C4">
        <w:rPr>
          <w:rFonts w:ascii="Arial" w:hAnsi="Arial" w:cs="Arial"/>
          <w:bCs/>
        </w:rPr>
        <w:t>i</w:t>
      </w:r>
      <w:r w:rsidR="00D8642A">
        <w:rPr>
          <w:rFonts w:ascii="Arial" w:hAnsi="Arial" w:cs="Arial"/>
          <w:bCs/>
        </w:rPr>
        <w:t>ten Pandemie-Jahr in ein behagliches</w:t>
      </w:r>
      <w:r w:rsidR="0074050A" w:rsidRPr="007901C4">
        <w:rPr>
          <w:rFonts w:ascii="Arial" w:hAnsi="Arial" w:cs="Arial"/>
          <w:bCs/>
        </w:rPr>
        <w:t xml:space="preserve"> Zuhause investiert, statt in den Urlaub, der bislang durch Unsicherheiten geprägt war. Dieser Anlass wurde genutzt, um sich </w:t>
      </w:r>
      <w:r w:rsidR="001126E8">
        <w:rPr>
          <w:rFonts w:ascii="Arial" w:hAnsi="Arial" w:cs="Arial"/>
          <w:bCs/>
        </w:rPr>
        <w:t>beispielsweise eine</w:t>
      </w:r>
      <w:r w:rsidR="0074050A" w:rsidRPr="007901C4">
        <w:rPr>
          <w:rFonts w:ascii="Arial" w:hAnsi="Arial" w:cs="Arial"/>
          <w:bCs/>
        </w:rPr>
        <w:t xml:space="preserve"> größere Couch zu kaufen, zu renovieren oder aber die Küche zu erneuern. </w:t>
      </w:r>
      <w:r w:rsidR="00D8642A">
        <w:rPr>
          <w:rFonts w:ascii="Arial" w:hAnsi="Arial" w:cs="Arial"/>
          <w:bCs/>
        </w:rPr>
        <w:t xml:space="preserve">Der </w:t>
      </w:r>
      <w:r w:rsidR="0074050A" w:rsidRPr="007901C4">
        <w:rPr>
          <w:rFonts w:ascii="Arial" w:hAnsi="Arial" w:cs="Arial"/>
          <w:bCs/>
        </w:rPr>
        <w:t>Cocooning</w:t>
      </w:r>
      <w:r w:rsidR="00D8642A">
        <w:rPr>
          <w:rFonts w:ascii="Arial" w:hAnsi="Arial" w:cs="Arial"/>
          <w:bCs/>
        </w:rPr>
        <w:t xml:space="preserve">-Trend zog sich auch durch das Jahr 2021 und veranlasste die Menschen, </w:t>
      </w:r>
      <w:r w:rsidR="00B739D4" w:rsidRPr="007901C4">
        <w:rPr>
          <w:rFonts w:ascii="Arial" w:hAnsi="Arial" w:cs="Arial"/>
          <w:bCs/>
        </w:rPr>
        <w:t xml:space="preserve">sich einen Rückzugsort </w:t>
      </w:r>
      <w:r w:rsidR="00D8642A">
        <w:rPr>
          <w:rFonts w:ascii="Arial" w:hAnsi="Arial" w:cs="Arial"/>
          <w:bCs/>
        </w:rPr>
        <w:t xml:space="preserve">zu </w:t>
      </w:r>
      <w:r w:rsidR="00B739D4" w:rsidRPr="007901C4">
        <w:rPr>
          <w:rFonts w:ascii="Arial" w:hAnsi="Arial" w:cs="Arial"/>
          <w:bCs/>
        </w:rPr>
        <w:t xml:space="preserve">schaffen, </w:t>
      </w:r>
      <w:r w:rsidR="00D8642A">
        <w:rPr>
          <w:rFonts w:ascii="Arial" w:hAnsi="Arial" w:cs="Arial"/>
          <w:bCs/>
        </w:rPr>
        <w:t>in dem man sich wohl und sicher f</w:t>
      </w:r>
      <w:r w:rsidR="00B739D4" w:rsidRPr="007901C4">
        <w:rPr>
          <w:rFonts w:ascii="Arial" w:hAnsi="Arial" w:cs="Arial"/>
          <w:bCs/>
        </w:rPr>
        <w:t>ühl</w:t>
      </w:r>
      <w:r w:rsidR="00D8642A">
        <w:rPr>
          <w:rFonts w:ascii="Arial" w:hAnsi="Arial" w:cs="Arial"/>
          <w:bCs/>
        </w:rPr>
        <w:t>t</w:t>
      </w:r>
      <w:r w:rsidR="00B739D4" w:rsidRPr="007901C4">
        <w:rPr>
          <w:rFonts w:ascii="Arial" w:hAnsi="Arial" w:cs="Arial"/>
          <w:bCs/>
        </w:rPr>
        <w:t>.</w:t>
      </w:r>
    </w:p>
    <w:p w14:paraId="02FF62E6" w14:textId="55A8A9F9" w:rsidR="00005E43" w:rsidRPr="007901C4" w:rsidRDefault="0017216A" w:rsidP="007901C4">
      <w:pPr>
        <w:pStyle w:val="Kopfzeile"/>
        <w:spacing w:before="120" w:line="360" w:lineRule="auto"/>
        <w:jc w:val="both"/>
        <w:rPr>
          <w:rFonts w:ascii="Arial" w:hAnsi="Arial" w:cs="Arial"/>
          <w:bCs/>
        </w:rPr>
      </w:pPr>
      <w:r w:rsidRPr="007901C4">
        <w:rPr>
          <w:rFonts w:ascii="Arial" w:hAnsi="Arial" w:cs="Arial"/>
          <w:bCs/>
        </w:rPr>
        <w:t xml:space="preserve">Der </w:t>
      </w:r>
      <w:r w:rsidR="00005E43" w:rsidRPr="007901C4">
        <w:rPr>
          <w:rFonts w:ascii="Arial" w:hAnsi="Arial" w:cs="Arial"/>
          <w:bCs/>
        </w:rPr>
        <w:t xml:space="preserve">erlebte </w:t>
      </w:r>
      <w:r w:rsidRPr="007901C4">
        <w:rPr>
          <w:rFonts w:ascii="Arial" w:hAnsi="Arial" w:cs="Arial"/>
          <w:bCs/>
        </w:rPr>
        <w:t xml:space="preserve">Homeoffice-Trend </w:t>
      </w:r>
      <w:r w:rsidR="00005E43" w:rsidRPr="007901C4">
        <w:rPr>
          <w:rFonts w:ascii="Arial" w:hAnsi="Arial" w:cs="Arial"/>
          <w:bCs/>
        </w:rPr>
        <w:t>in 2020 war keine</w:t>
      </w:r>
      <w:r w:rsidRPr="007901C4">
        <w:rPr>
          <w:rFonts w:ascii="Arial" w:hAnsi="Arial" w:cs="Arial"/>
          <w:bCs/>
        </w:rPr>
        <w:t xml:space="preserve"> zeitweilige Erscheinung</w:t>
      </w:r>
      <w:r w:rsidR="00005E43" w:rsidRPr="007901C4">
        <w:rPr>
          <w:rFonts w:ascii="Arial" w:hAnsi="Arial" w:cs="Arial"/>
          <w:bCs/>
        </w:rPr>
        <w:t xml:space="preserve">, sondern festigte sich in 2021 als </w:t>
      </w:r>
      <w:r w:rsidRPr="007901C4">
        <w:rPr>
          <w:rFonts w:ascii="Arial" w:hAnsi="Arial" w:cs="Arial"/>
          <w:bCs/>
        </w:rPr>
        <w:t>eine Standardkomponente</w:t>
      </w:r>
      <w:r w:rsidR="00005E43" w:rsidRPr="007901C4">
        <w:rPr>
          <w:rFonts w:ascii="Arial" w:hAnsi="Arial" w:cs="Arial"/>
          <w:bCs/>
        </w:rPr>
        <w:t xml:space="preserve"> </w:t>
      </w:r>
      <w:r w:rsidRPr="007901C4">
        <w:rPr>
          <w:rFonts w:ascii="Arial" w:hAnsi="Arial" w:cs="Arial"/>
          <w:bCs/>
        </w:rPr>
        <w:t>im Arbeitsleben</w:t>
      </w:r>
      <w:r w:rsidR="00005E43" w:rsidRPr="007901C4">
        <w:rPr>
          <w:rFonts w:ascii="Arial" w:hAnsi="Arial" w:cs="Arial"/>
          <w:bCs/>
        </w:rPr>
        <w:t>. Neue Wohn- und Arbeitskonzepte für kleine Flächen waren gefragt. Die Bürowelt von Morgen vereint einmal mehr den Wunsch nach Mobilität, Flexibilität und Kommunikation. Der Austausch im Kollegen- und Mitarbeiterkreis sowie die sozialen Kontakte bleiben gleichfalls</w:t>
      </w:r>
      <w:r w:rsidR="00503B47">
        <w:rPr>
          <w:rFonts w:ascii="Arial" w:hAnsi="Arial" w:cs="Arial"/>
          <w:bCs/>
        </w:rPr>
        <w:t xml:space="preserve"> </w:t>
      </w:r>
      <w:r w:rsidR="00005E43" w:rsidRPr="007901C4">
        <w:rPr>
          <w:rFonts w:ascii="Arial" w:hAnsi="Arial" w:cs="Arial"/>
          <w:bCs/>
        </w:rPr>
        <w:t xml:space="preserve">Bestandteil unserer Berufswelt, wie die durch die Krise neugewonnene Flexibilität. So wird durchaus ein Teil unseres konzentrierten Arbeitslebens von zu Hause oder mobil erledigt, während die </w:t>
      </w:r>
      <w:r w:rsidR="0084436D">
        <w:rPr>
          <w:rFonts w:ascii="Arial" w:hAnsi="Arial" w:cs="Arial"/>
          <w:bCs/>
        </w:rPr>
        <w:t>restliche Arbeitszeit für beispielsweise</w:t>
      </w:r>
      <w:r w:rsidR="00005E43" w:rsidRPr="007901C4">
        <w:rPr>
          <w:rFonts w:ascii="Arial" w:hAnsi="Arial" w:cs="Arial"/>
          <w:bCs/>
        </w:rPr>
        <w:t xml:space="preserve"> Besprechungen und Kreativmeetings im Büro verbracht wird.</w:t>
      </w:r>
    </w:p>
    <w:p w14:paraId="6B151B83" w14:textId="13D946AD" w:rsidR="00005E43" w:rsidRPr="007901C4" w:rsidRDefault="00005E43" w:rsidP="007901C4">
      <w:pPr>
        <w:pStyle w:val="Kopfzeile"/>
        <w:spacing w:before="120" w:line="360" w:lineRule="auto"/>
        <w:jc w:val="both"/>
        <w:rPr>
          <w:rFonts w:ascii="Arial" w:hAnsi="Arial" w:cs="Arial"/>
          <w:bCs/>
        </w:rPr>
      </w:pPr>
      <w:r w:rsidRPr="007901C4">
        <w:rPr>
          <w:rFonts w:ascii="Arial" w:hAnsi="Arial" w:cs="Arial"/>
          <w:bCs/>
        </w:rPr>
        <w:t>Büromöbel, die sich in den vorhandenen Wohnraum</w:t>
      </w:r>
      <w:r w:rsidR="00503B47">
        <w:rPr>
          <w:rFonts w:ascii="Arial" w:hAnsi="Arial" w:cs="Arial"/>
          <w:bCs/>
        </w:rPr>
        <w:t xml:space="preserve"> </w:t>
      </w:r>
      <w:r w:rsidRPr="007901C4">
        <w:rPr>
          <w:rFonts w:ascii="Arial" w:hAnsi="Arial" w:cs="Arial"/>
          <w:bCs/>
        </w:rPr>
        <w:t xml:space="preserve">integrieren </w:t>
      </w:r>
      <w:r w:rsidR="001126E8">
        <w:rPr>
          <w:rFonts w:ascii="Arial" w:hAnsi="Arial" w:cs="Arial"/>
          <w:bCs/>
        </w:rPr>
        <w:t xml:space="preserve">lassen </w:t>
      </w:r>
      <w:r w:rsidRPr="007901C4">
        <w:rPr>
          <w:rFonts w:ascii="Arial" w:hAnsi="Arial" w:cs="Arial"/>
          <w:bCs/>
        </w:rPr>
        <w:t>und flexibel nach ergonomischen</w:t>
      </w:r>
      <w:r w:rsidR="00503B47">
        <w:rPr>
          <w:rFonts w:ascii="Arial" w:hAnsi="Arial" w:cs="Arial"/>
          <w:bCs/>
        </w:rPr>
        <w:t xml:space="preserve"> </w:t>
      </w:r>
      <w:r w:rsidRPr="007901C4">
        <w:rPr>
          <w:rFonts w:ascii="Arial" w:hAnsi="Arial" w:cs="Arial"/>
          <w:bCs/>
        </w:rPr>
        <w:t xml:space="preserve">Gesichtspunkten einsetzbar sind, waren </w:t>
      </w:r>
      <w:r w:rsidR="00503B47">
        <w:rPr>
          <w:rFonts w:ascii="Arial" w:hAnsi="Arial" w:cs="Arial"/>
          <w:bCs/>
        </w:rPr>
        <w:t xml:space="preserve">dementsprechend stark gefragt. </w:t>
      </w:r>
    </w:p>
    <w:p w14:paraId="1C333191" w14:textId="711584AC" w:rsidR="006D1EF3" w:rsidRPr="007901C4" w:rsidRDefault="00005E43" w:rsidP="007901C4">
      <w:pPr>
        <w:pStyle w:val="Kopfzeile"/>
        <w:spacing w:before="120" w:line="360" w:lineRule="auto"/>
        <w:jc w:val="both"/>
        <w:rPr>
          <w:rFonts w:ascii="Arial" w:hAnsi="Arial" w:cs="Arial"/>
          <w:bCs/>
        </w:rPr>
      </w:pPr>
      <w:r w:rsidRPr="007901C4">
        <w:rPr>
          <w:rFonts w:ascii="Arial" w:hAnsi="Arial" w:cs="Arial"/>
          <w:bCs/>
        </w:rPr>
        <w:t xml:space="preserve">Unterstreichen lässt sich dieser Ansatzpunkt, </w:t>
      </w:r>
      <w:r w:rsidR="006D1EF3" w:rsidRPr="007901C4">
        <w:rPr>
          <w:rFonts w:ascii="Arial" w:hAnsi="Arial" w:cs="Arial"/>
          <w:bCs/>
        </w:rPr>
        <w:t>das</w:t>
      </w:r>
      <w:r w:rsidR="000A3936">
        <w:rPr>
          <w:rFonts w:ascii="Arial" w:hAnsi="Arial" w:cs="Arial"/>
          <w:bCs/>
        </w:rPr>
        <w:t>s in 2021</w:t>
      </w:r>
      <w:r w:rsidR="006D1EF3" w:rsidRPr="007901C4">
        <w:rPr>
          <w:rFonts w:ascii="Arial" w:hAnsi="Arial" w:cs="Arial"/>
          <w:bCs/>
        </w:rPr>
        <w:t xml:space="preserve"> bundesweit die Home</w:t>
      </w:r>
      <w:r w:rsidR="0084436D">
        <w:rPr>
          <w:rFonts w:ascii="Arial" w:hAnsi="Arial" w:cs="Arial"/>
          <w:bCs/>
        </w:rPr>
        <w:t>o</w:t>
      </w:r>
      <w:r w:rsidR="006D1EF3" w:rsidRPr="007901C4">
        <w:rPr>
          <w:rFonts w:ascii="Arial" w:hAnsi="Arial" w:cs="Arial"/>
          <w:bCs/>
        </w:rPr>
        <w:t>ffice</w:t>
      </w:r>
      <w:r w:rsidR="0084436D">
        <w:rPr>
          <w:rFonts w:ascii="Arial" w:hAnsi="Arial" w:cs="Arial"/>
          <w:bCs/>
        </w:rPr>
        <w:t>-P</w:t>
      </w:r>
      <w:r w:rsidR="006D1EF3" w:rsidRPr="007901C4">
        <w:rPr>
          <w:rFonts w:ascii="Arial" w:hAnsi="Arial" w:cs="Arial"/>
          <w:bCs/>
        </w:rPr>
        <w:t xml:space="preserve">flicht galt. Arbeitgeber waren verpflichtet, ihren Beschäftigten – wenn möglich – die Arbeit daheim zu erlauben. Damit haben sich die Arbeitnehmer über das Jahr an die Flexibilität im Homeoffice gewöhnt und wurden von ihrem Arbeitgeber </w:t>
      </w:r>
      <w:r w:rsidR="006D1EF3" w:rsidRPr="007901C4">
        <w:rPr>
          <w:rFonts w:ascii="Arial" w:hAnsi="Arial" w:cs="Arial"/>
          <w:bCs/>
        </w:rPr>
        <w:lastRenderedPageBreak/>
        <w:t xml:space="preserve">mit Büromöbeln ausgestattet. Zwar endet die Homeoffice-Pflicht Ende März 2022 – sofern die Pandemieentwicklung dies </w:t>
      </w:r>
      <w:r w:rsidR="00060BB8" w:rsidRPr="007901C4">
        <w:rPr>
          <w:rFonts w:ascii="Arial" w:hAnsi="Arial" w:cs="Arial"/>
          <w:bCs/>
        </w:rPr>
        <w:t xml:space="preserve">laut Bundespolitik </w:t>
      </w:r>
      <w:r w:rsidR="006D1EF3" w:rsidRPr="007901C4">
        <w:rPr>
          <w:rFonts w:ascii="Arial" w:hAnsi="Arial" w:cs="Arial"/>
          <w:bCs/>
        </w:rPr>
        <w:t>zulasse</w:t>
      </w:r>
      <w:r w:rsidR="008D34A2">
        <w:rPr>
          <w:rFonts w:ascii="Arial" w:hAnsi="Arial" w:cs="Arial"/>
          <w:bCs/>
        </w:rPr>
        <w:t xml:space="preserve"> </w:t>
      </w:r>
      <w:r w:rsidR="008D34A2" w:rsidRPr="007901C4">
        <w:rPr>
          <w:rFonts w:ascii="Arial" w:hAnsi="Arial" w:cs="Arial"/>
          <w:bCs/>
        </w:rPr>
        <w:t>–</w:t>
      </w:r>
      <w:r w:rsidR="000A3936">
        <w:rPr>
          <w:rFonts w:ascii="Arial" w:hAnsi="Arial" w:cs="Arial"/>
          <w:bCs/>
        </w:rPr>
        <w:t xml:space="preserve"> </w:t>
      </w:r>
      <w:r w:rsidR="006D1EF3" w:rsidRPr="007901C4">
        <w:rPr>
          <w:rFonts w:ascii="Arial" w:hAnsi="Arial" w:cs="Arial"/>
          <w:bCs/>
        </w:rPr>
        <w:t xml:space="preserve">Arbeitgeber können </w:t>
      </w:r>
      <w:r w:rsidR="000A3936">
        <w:rPr>
          <w:rFonts w:ascii="Arial" w:hAnsi="Arial" w:cs="Arial"/>
          <w:bCs/>
        </w:rPr>
        <w:t xml:space="preserve">dennoch </w:t>
      </w:r>
      <w:r w:rsidR="006D1EF3" w:rsidRPr="007901C4">
        <w:rPr>
          <w:rFonts w:ascii="Arial" w:hAnsi="Arial" w:cs="Arial"/>
          <w:bCs/>
        </w:rPr>
        <w:t xml:space="preserve">ihren Beschäftigten das </w:t>
      </w:r>
      <w:r w:rsidR="000A3936">
        <w:rPr>
          <w:rFonts w:ascii="Arial" w:hAnsi="Arial" w:cs="Arial"/>
          <w:bCs/>
        </w:rPr>
        <w:t xml:space="preserve">Arbeiten im </w:t>
      </w:r>
      <w:r w:rsidR="006D1EF3" w:rsidRPr="007901C4">
        <w:rPr>
          <w:rFonts w:ascii="Arial" w:hAnsi="Arial" w:cs="Arial"/>
          <w:bCs/>
        </w:rPr>
        <w:t>Homeoffice weiterhin anbieten.</w:t>
      </w:r>
    </w:p>
    <w:p w14:paraId="37CA5114" w14:textId="385D6906" w:rsidR="008115D1" w:rsidRPr="007901C4" w:rsidRDefault="00060BB8" w:rsidP="007901C4">
      <w:pPr>
        <w:pStyle w:val="Kopfzeile"/>
        <w:spacing w:before="120" w:line="360" w:lineRule="auto"/>
        <w:jc w:val="both"/>
        <w:rPr>
          <w:rFonts w:ascii="Arial" w:hAnsi="Arial" w:cs="Arial"/>
          <w:bCs/>
        </w:rPr>
      </w:pPr>
      <w:r w:rsidRPr="007901C4">
        <w:rPr>
          <w:rFonts w:ascii="Arial" w:hAnsi="Arial" w:cs="Arial"/>
          <w:bCs/>
        </w:rPr>
        <w:t>Die aktuelle Diskussion in der Politik zeigt, dass der Arbeits- und Gesundheitsschutz für das Homeoffice langfristig verbindlich geregelt werden soll. Offen ist noch, ob es künftig einen Rechtsanspruch auf Homeoffice geben wird.</w:t>
      </w:r>
    </w:p>
    <w:p w14:paraId="18700484" w14:textId="5D1EA8C0" w:rsidR="000827B6" w:rsidRPr="00420097" w:rsidRDefault="008115D1" w:rsidP="00420097">
      <w:pPr>
        <w:pStyle w:val="Kopfzeile"/>
        <w:spacing w:before="120" w:line="360" w:lineRule="auto"/>
        <w:jc w:val="both"/>
        <w:rPr>
          <w:rFonts w:ascii="Arial" w:hAnsi="Arial" w:cs="Arial"/>
        </w:rPr>
      </w:pPr>
      <w:r w:rsidRPr="007901C4">
        <w:rPr>
          <w:rFonts w:ascii="Arial" w:hAnsi="Arial" w:cs="Arial"/>
          <w:bCs/>
        </w:rPr>
        <w:t>Das Homeoffice erfährt eine neue Dimension im Rahmen der Verquickung des Privaten (Wohnlichkeit und Gemütlichkeitsfaktor) mit moderner Büroausstattung.</w:t>
      </w:r>
    </w:p>
    <w:p w14:paraId="24AEDFE3" w14:textId="14A33D25" w:rsidR="008115D1" w:rsidRPr="00420097" w:rsidRDefault="008115D1" w:rsidP="00420097">
      <w:pPr>
        <w:pStyle w:val="Kopfzeile"/>
        <w:spacing w:before="120" w:line="360" w:lineRule="auto"/>
        <w:jc w:val="both"/>
        <w:rPr>
          <w:rFonts w:ascii="Arial" w:hAnsi="Arial" w:cs="Arial"/>
        </w:rPr>
      </w:pPr>
      <w:r w:rsidRPr="00420097">
        <w:rPr>
          <w:rFonts w:ascii="Arial" w:hAnsi="Arial" w:cs="Arial"/>
        </w:rPr>
        <w:t xml:space="preserve">2021 zeigte auch den Trend auf, dass die Kunden eher Kleinstmöbeln den Vorzug gaben und </w:t>
      </w:r>
      <w:r w:rsidR="000A3936">
        <w:rPr>
          <w:rFonts w:ascii="Arial" w:hAnsi="Arial" w:cs="Arial"/>
        </w:rPr>
        <w:t xml:space="preserve">weniger große Möbelstücke wie </w:t>
      </w:r>
      <w:r w:rsidR="0084436D">
        <w:rPr>
          <w:rFonts w:ascii="Arial" w:hAnsi="Arial" w:cs="Arial"/>
        </w:rPr>
        <w:t>z.B.</w:t>
      </w:r>
      <w:r w:rsidR="000A3936">
        <w:rPr>
          <w:rFonts w:ascii="Arial" w:hAnsi="Arial" w:cs="Arial"/>
        </w:rPr>
        <w:t xml:space="preserve"> </w:t>
      </w:r>
      <w:r w:rsidRPr="00420097">
        <w:rPr>
          <w:rFonts w:ascii="Arial" w:hAnsi="Arial" w:cs="Arial"/>
        </w:rPr>
        <w:t>Schrankwände kauften. Der minimalist</w:t>
      </w:r>
      <w:r w:rsidR="00F86041" w:rsidRPr="00420097">
        <w:rPr>
          <w:rFonts w:ascii="Arial" w:hAnsi="Arial" w:cs="Arial"/>
        </w:rPr>
        <w:t>ische</w:t>
      </w:r>
      <w:r w:rsidRPr="00420097">
        <w:rPr>
          <w:rFonts w:ascii="Arial" w:hAnsi="Arial" w:cs="Arial"/>
        </w:rPr>
        <w:t xml:space="preserve"> Wohnungseinrichtungsstil zeigt</w:t>
      </w:r>
      <w:r w:rsidR="00F86041" w:rsidRPr="00420097">
        <w:rPr>
          <w:rFonts w:ascii="Arial" w:hAnsi="Arial" w:cs="Arial"/>
        </w:rPr>
        <w:t xml:space="preserve">, dass ein weitläufig </w:t>
      </w:r>
      <w:r w:rsidRPr="00420097">
        <w:rPr>
          <w:rFonts w:ascii="Arial" w:hAnsi="Arial" w:cs="Arial"/>
        </w:rPr>
        <w:t>offen</w:t>
      </w:r>
      <w:r w:rsidR="00F86041" w:rsidRPr="00420097">
        <w:rPr>
          <w:rFonts w:ascii="Arial" w:hAnsi="Arial" w:cs="Arial"/>
        </w:rPr>
        <w:t xml:space="preserve">es </w:t>
      </w:r>
      <w:r w:rsidRPr="00420097">
        <w:rPr>
          <w:rFonts w:ascii="Arial" w:hAnsi="Arial" w:cs="Arial"/>
        </w:rPr>
        <w:t>Design und Funktionalität genau aufeinander abgestimmt</w:t>
      </w:r>
      <w:r w:rsidR="00F86041" w:rsidRPr="00420097">
        <w:rPr>
          <w:rFonts w:ascii="Arial" w:hAnsi="Arial" w:cs="Arial"/>
        </w:rPr>
        <w:t xml:space="preserve"> sein sollen, um ein </w:t>
      </w:r>
      <w:r w:rsidRPr="00420097">
        <w:rPr>
          <w:rFonts w:ascii="Arial" w:hAnsi="Arial" w:cs="Arial"/>
        </w:rPr>
        <w:t>harmonisches Ambiente und eine wohnliche Atmosphäre</w:t>
      </w:r>
      <w:r w:rsidR="00F86041" w:rsidRPr="00420097">
        <w:rPr>
          <w:rFonts w:ascii="Arial" w:hAnsi="Arial" w:cs="Arial"/>
        </w:rPr>
        <w:t xml:space="preserve"> zu schaffen. </w:t>
      </w:r>
    </w:p>
    <w:p w14:paraId="0AFA2BBD" w14:textId="68E9710E" w:rsidR="00F86041" w:rsidRPr="00420097" w:rsidRDefault="00F86041" w:rsidP="00420097">
      <w:pPr>
        <w:pStyle w:val="Kopfzeile"/>
        <w:spacing w:before="120" w:line="360" w:lineRule="auto"/>
        <w:jc w:val="both"/>
        <w:rPr>
          <w:rFonts w:ascii="Arial" w:hAnsi="Arial" w:cs="Arial"/>
        </w:rPr>
      </w:pPr>
      <w:r w:rsidRPr="00420097">
        <w:rPr>
          <w:rFonts w:ascii="Arial" w:hAnsi="Arial" w:cs="Arial"/>
        </w:rPr>
        <w:t xml:space="preserve">Die Nachfrage nach Gartenmöbeln </w:t>
      </w:r>
      <w:r w:rsidR="00146C6A" w:rsidRPr="00420097">
        <w:rPr>
          <w:rFonts w:ascii="Arial" w:hAnsi="Arial" w:cs="Arial"/>
        </w:rPr>
        <w:t>war</w:t>
      </w:r>
      <w:r w:rsidRPr="00420097">
        <w:rPr>
          <w:rFonts w:ascii="Arial" w:hAnsi="Arial" w:cs="Arial"/>
        </w:rPr>
        <w:t xml:space="preserve"> in 2021 rückläufig, da viele Kunden bereits im Pandemiejahr 2020 den Kauf vorgezogen haben</w:t>
      </w:r>
      <w:r w:rsidR="00766E6F">
        <w:rPr>
          <w:rFonts w:ascii="Arial" w:hAnsi="Arial" w:cs="Arial"/>
        </w:rPr>
        <w:t xml:space="preserve"> und der Markt gesättigt war</w:t>
      </w:r>
      <w:r w:rsidRPr="00420097">
        <w:rPr>
          <w:rFonts w:ascii="Arial" w:hAnsi="Arial" w:cs="Arial"/>
        </w:rPr>
        <w:t xml:space="preserve">. Im Bereich der </w:t>
      </w:r>
      <w:r w:rsidR="00146C6A" w:rsidRPr="00420097">
        <w:rPr>
          <w:rFonts w:ascii="Arial" w:hAnsi="Arial" w:cs="Arial"/>
        </w:rPr>
        <w:t>Matratzen</w:t>
      </w:r>
      <w:r w:rsidRPr="00420097">
        <w:rPr>
          <w:rFonts w:ascii="Arial" w:hAnsi="Arial" w:cs="Arial"/>
        </w:rPr>
        <w:t xml:space="preserve"> liegt der Grund des Umsatzrückgangs </w:t>
      </w:r>
      <w:r w:rsidR="00E87274" w:rsidRPr="00420097">
        <w:rPr>
          <w:rFonts w:ascii="Arial" w:hAnsi="Arial" w:cs="Arial"/>
        </w:rPr>
        <w:t xml:space="preserve">im Handel </w:t>
      </w:r>
      <w:r w:rsidRPr="00420097">
        <w:rPr>
          <w:rFonts w:ascii="Arial" w:hAnsi="Arial" w:cs="Arial"/>
        </w:rPr>
        <w:t xml:space="preserve">zum einen in </w:t>
      </w:r>
      <w:r w:rsidR="00146C6A" w:rsidRPr="00420097">
        <w:rPr>
          <w:rFonts w:ascii="Arial" w:hAnsi="Arial" w:cs="Arial"/>
        </w:rPr>
        <w:t xml:space="preserve">dem </w:t>
      </w:r>
      <w:r w:rsidR="00E87274" w:rsidRPr="00420097">
        <w:rPr>
          <w:rFonts w:ascii="Arial" w:hAnsi="Arial" w:cs="Arial"/>
        </w:rPr>
        <w:t xml:space="preserve">coronabedingten </w:t>
      </w:r>
      <w:r w:rsidRPr="00420097">
        <w:rPr>
          <w:rFonts w:ascii="Arial" w:hAnsi="Arial" w:cs="Arial"/>
        </w:rPr>
        <w:t>Weihnachts</w:t>
      </w:r>
      <w:r w:rsidR="00146C6A" w:rsidRPr="00420097">
        <w:rPr>
          <w:rFonts w:ascii="Arial" w:hAnsi="Arial" w:cs="Arial"/>
        </w:rPr>
        <w:t>- und Neujahrsgeschäft</w:t>
      </w:r>
      <w:r w:rsidR="00292F06">
        <w:rPr>
          <w:rFonts w:ascii="Arial" w:hAnsi="Arial" w:cs="Arial"/>
        </w:rPr>
        <w:t xml:space="preserve"> – normalerweise ist dies die umsatzstärkste Zeit des Jahres – </w:t>
      </w:r>
      <w:r w:rsidR="00766E6F">
        <w:rPr>
          <w:rFonts w:ascii="Arial" w:hAnsi="Arial" w:cs="Arial"/>
        </w:rPr>
        <w:t>und z</w:t>
      </w:r>
      <w:r w:rsidR="00146C6A" w:rsidRPr="00420097">
        <w:rPr>
          <w:rFonts w:ascii="Arial" w:hAnsi="Arial" w:cs="Arial"/>
        </w:rPr>
        <w:t>u</w:t>
      </w:r>
      <w:r w:rsidR="00E87274" w:rsidRPr="00420097">
        <w:rPr>
          <w:rFonts w:ascii="Arial" w:hAnsi="Arial" w:cs="Arial"/>
        </w:rPr>
        <w:t xml:space="preserve">m anderen waren </w:t>
      </w:r>
      <w:r w:rsidR="00766E6F">
        <w:rPr>
          <w:rFonts w:ascii="Arial" w:hAnsi="Arial" w:cs="Arial"/>
        </w:rPr>
        <w:t xml:space="preserve">die Materialien für die Matratzenproduktion aufgrund </w:t>
      </w:r>
      <w:r w:rsidR="00E87274" w:rsidRPr="00420097">
        <w:rPr>
          <w:rFonts w:ascii="Arial" w:hAnsi="Arial" w:cs="Arial"/>
        </w:rPr>
        <w:t>von Lieferengpässen schwer verfügbar.</w:t>
      </w:r>
    </w:p>
    <w:p w14:paraId="28BC0464" w14:textId="3D210D77" w:rsidR="00E87274" w:rsidRPr="00420097" w:rsidRDefault="00292F06" w:rsidP="008D34A2">
      <w:pPr>
        <w:pStyle w:val="Kopfzeile"/>
        <w:tabs>
          <w:tab w:val="clear" w:pos="4536"/>
          <w:tab w:val="clear" w:pos="9072"/>
        </w:tabs>
        <w:spacing w:before="240" w:line="360" w:lineRule="auto"/>
        <w:jc w:val="both"/>
        <w:rPr>
          <w:rFonts w:ascii="Arial" w:hAnsi="Arial" w:cs="Arial"/>
          <w:b/>
          <w:bCs/>
        </w:rPr>
      </w:pPr>
      <w:r>
        <w:rPr>
          <w:rFonts w:ascii="Arial" w:hAnsi="Arial" w:cs="Arial"/>
          <w:b/>
          <w:bCs/>
        </w:rPr>
        <w:t>Onlineh</w:t>
      </w:r>
      <w:r w:rsidR="004123F7" w:rsidRPr="00420097">
        <w:rPr>
          <w:rFonts w:ascii="Arial" w:hAnsi="Arial" w:cs="Arial"/>
          <w:b/>
          <w:bCs/>
        </w:rPr>
        <w:t xml:space="preserve">andel </w:t>
      </w:r>
      <w:r w:rsidR="006540C1" w:rsidRPr="00420097">
        <w:rPr>
          <w:rFonts w:ascii="Arial" w:hAnsi="Arial" w:cs="Arial"/>
          <w:b/>
          <w:bCs/>
        </w:rPr>
        <w:t>– Quo Vadis?</w:t>
      </w:r>
    </w:p>
    <w:p w14:paraId="1FACDFA7" w14:textId="181DF2E2" w:rsidR="006540C1" w:rsidRPr="00420097" w:rsidRDefault="000860C9" w:rsidP="00420097">
      <w:pPr>
        <w:pStyle w:val="Kopfzeile"/>
        <w:spacing w:before="120" w:line="360" w:lineRule="auto"/>
        <w:jc w:val="both"/>
        <w:rPr>
          <w:rFonts w:ascii="Arial" w:hAnsi="Arial" w:cs="Arial"/>
        </w:rPr>
      </w:pPr>
      <w:r w:rsidRPr="00420097">
        <w:rPr>
          <w:rFonts w:ascii="Arial" w:hAnsi="Arial" w:cs="Arial"/>
        </w:rPr>
        <w:t xml:space="preserve">Laut </w:t>
      </w:r>
      <w:r w:rsidR="00766E6F">
        <w:rPr>
          <w:rFonts w:ascii="Arial" w:hAnsi="Arial" w:cs="Arial"/>
        </w:rPr>
        <w:t xml:space="preserve">des </w:t>
      </w:r>
      <w:r w:rsidRPr="00420097">
        <w:rPr>
          <w:rFonts w:ascii="Arial" w:hAnsi="Arial" w:cs="Arial"/>
        </w:rPr>
        <w:t xml:space="preserve">IFH </w:t>
      </w:r>
      <w:r w:rsidR="00766E6F">
        <w:rPr>
          <w:rFonts w:ascii="Arial" w:hAnsi="Arial" w:cs="Arial"/>
        </w:rPr>
        <w:t xml:space="preserve">Köln </w:t>
      </w:r>
      <w:r w:rsidRPr="00420097">
        <w:rPr>
          <w:rFonts w:ascii="Arial" w:hAnsi="Arial" w:cs="Arial"/>
        </w:rPr>
        <w:t>treibt der Onlinehandel mit seinem Innovationsverständnis den gesamten Handel</w:t>
      </w:r>
      <w:r w:rsidR="008D34A2">
        <w:rPr>
          <w:rFonts w:ascii="Arial" w:hAnsi="Arial" w:cs="Arial"/>
        </w:rPr>
        <w:t xml:space="preserve"> an</w:t>
      </w:r>
      <w:r w:rsidRPr="00420097">
        <w:rPr>
          <w:rFonts w:ascii="Arial" w:hAnsi="Arial" w:cs="Arial"/>
        </w:rPr>
        <w:t>. Viele neue Ideen in der Handelsbranche finden ihren Ursprung in der Digitalisierung und dem E-Commerce. Nicht zuletzt deshalb treibt der Onlinehandel auch digitale Innovationen am Point of Sale im stationären Handel</w:t>
      </w:r>
      <w:r w:rsidR="008D34A2">
        <w:rPr>
          <w:rFonts w:ascii="Arial" w:hAnsi="Arial" w:cs="Arial"/>
        </w:rPr>
        <w:t xml:space="preserve"> voran</w:t>
      </w:r>
      <w:r w:rsidRPr="00420097">
        <w:rPr>
          <w:rFonts w:ascii="Arial" w:hAnsi="Arial" w:cs="Arial"/>
        </w:rPr>
        <w:t>. Darüber hinaus bewerten Onlinekäufer Innovationen im Onlinehandel überwiegend positiv.</w:t>
      </w:r>
    </w:p>
    <w:p w14:paraId="7613B452" w14:textId="3529C47F" w:rsidR="006540C1" w:rsidRPr="00420097" w:rsidRDefault="005154FE" w:rsidP="00420097">
      <w:pPr>
        <w:pStyle w:val="Kopfzeile"/>
        <w:spacing w:before="120" w:line="360" w:lineRule="auto"/>
        <w:jc w:val="both"/>
        <w:rPr>
          <w:rFonts w:ascii="Arial" w:hAnsi="Arial" w:cs="Arial"/>
        </w:rPr>
      </w:pPr>
      <w:r>
        <w:rPr>
          <w:rFonts w:ascii="Arial" w:hAnsi="Arial" w:cs="Arial"/>
        </w:rPr>
        <w:lastRenderedPageBreak/>
        <w:t>Das</w:t>
      </w:r>
      <w:r w:rsidR="00766E6F">
        <w:rPr>
          <w:rFonts w:ascii="Arial" w:hAnsi="Arial" w:cs="Arial"/>
        </w:rPr>
        <w:t xml:space="preserve"> IFH</w:t>
      </w:r>
      <w:r w:rsidR="000860C9" w:rsidRPr="00420097">
        <w:rPr>
          <w:rFonts w:ascii="Arial" w:hAnsi="Arial" w:cs="Arial"/>
        </w:rPr>
        <w:t xml:space="preserve"> </w:t>
      </w:r>
      <w:r>
        <w:rPr>
          <w:rFonts w:ascii="Arial" w:hAnsi="Arial" w:cs="Arial"/>
        </w:rPr>
        <w:t xml:space="preserve">ging im Jahr 2020 </w:t>
      </w:r>
      <w:r w:rsidR="000860C9" w:rsidRPr="00420097">
        <w:rPr>
          <w:rFonts w:ascii="Arial" w:hAnsi="Arial" w:cs="Arial"/>
        </w:rPr>
        <w:t>davon aus, dass 44 Prozent des Onlinehandels allei</w:t>
      </w:r>
      <w:r>
        <w:rPr>
          <w:rFonts w:ascii="Arial" w:hAnsi="Arial" w:cs="Arial"/>
        </w:rPr>
        <w:t>n auf Marktplätzen getätigt werden</w:t>
      </w:r>
      <w:r w:rsidR="000860C9" w:rsidRPr="00420097">
        <w:rPr>
          <w:rFonts w:ascii="Arial" w:hAnsi="Arial" w:cs="Arial"/>
        </w:rPr>
        <w:t>. Ein Grund: Die Zahl der Händler, die auf Marktplätzen aktiv sind, wächst deutlich und übersteigt längst die der Händler mit eigenem Onlineshop. Auch kleineren Händlern bieten Plattformen einen niedrigschwelligen Onlinehebel, der Sichtbarkeit erzeugt und Umsätze ermöglicht.</w:t>
      </w:r>
      <w:r>
        <w:rPr>
          <w:rFonts w:ascii="Arial" w:hAnsi="Arial" w:cs="Arial"/>
        </w:rPr>
        <w:t xml:space="preserve"> Für 2021 rechnet der BVDM in diesem Bereich mit einem steigenden Anteil. </w:t>
      </w:r>
    </w:p>
    <w:p w14:paraId="1E963057" w14:textId="562551F6" w:rsidR="000860C9" w:rsidRPr="00420097" w:rsidRDefault="000860C9" w:rsidP="00420097">
      <w:pPr>
        <w:pStyle w:val="Kopfzeile"/>
        <w:spacing w:before="120" w:line="360" w:lineRule="auto"/>
        <w:jc w:val="both"/>
        <w:rPr>
          <w:rFonts w:ascii="Arial" w:hAnsi="Arial" w:cs="Arial"/>
        </w:rPr>
      </w:pPr>
      <w:r w:rsidRPr="00420097">
        <w:rPr>
          <w:rFonts w:ascii="Arial" w:hAnsi="Arial" w:cs="Arial"/>
        </w:rPr>
        <w:t>Der Onlinehandel ist damit maßgeblicher Bestandteil des Multi-Channel-Geschäfts. Die Filialen übernehmen zunehmend andere wichtige Funktionen im Kontakt mit den Kundinnen und Kunden.</w:t>
      </w:r>
    </w:p>
    <w:p w14:paraId="70C624A7" w14:textId="609459CB" w:rsidR="000860C9" w:rsidRPr="00420097" w:rsidRDefault="000860C9" w:rsidP="00420097">
      <w:pPr>
        <w:pStyle w:val="Kopfzeile"/>
        <w:spacing w:before="120" w:line="360" w:lineRule="auto"/>
        <w:jc w:val="both"/>
        <w:rPr>
          <w:rFonts w:ascii="Arial" w:hAnsi="Arial" w:cs="Arial"/>
        </w:rPr>
      </w:pPr>
      <w:r w:rsidRPr="00420097">
        <w:rPr>
          <w:rFonts w:ascii="Arial" w:hAnsi="Arial" w:cs="Arial"/>
        </w:rPr>
        <w:t>Der Onlin</w:t>
      </w:r>
      <w:r w:rsidR="0037292C">
        <w:rPr>
          <w:rFonts w:ascii="Arial" w:hAnsi="Arial" w:cs="Arial"/>
        </w:rPr>
        <w:t>eh</w:t>
      </w:r>
      <w:r w:rsidRPr="00420097">
        <w:rPr>
          <w:rFonts w:ascii="Arial" w:hAnsi="Arial" w:cs="Arial"/>
        </w:rPr>
        <w:t xml:space="preserve">andel im Möbelbereich liegt weiterhin </w:t>
      </w:r>
      <w:r w:rsidR="00BE2BD4" w:rsidRPr="00420097">
        <w:rPr>
          <w:rFonts w:ascii="Arial" w:hAnsi="Arial" w:cs="Arial"/>
        </w:rPr>
        <w:t xml:space="preserve">bei rund </w:t>
      </w:r>
      <w:r w:rsidR="00766E6F">
        <w:rPr>
          <w:rFonts w:ascii="Arial" w:hAnsi="Arial" w:cs="Arial"/>
        </w:rPr>
        <w:t>15</w:t>
      </w:r>
      <w:r w:rsidR="00BE2BD4" w:rsidRPr="00420097">
        <w:rPr>
          <w:rFonts w:ascii="Arial" w:hAnsi="Arial" w:cs="Arial"/>
        </w:rPr>
        <w:t xml:space="preserve"> bis 20</w:t>
      </w:r>
      <w:r w:rsidR="0037292C">
        <w:rPr>
          <w:rFonts w:ascii="Arial" w:hAnsi="Arial" w:cs="Arial"/>
        </w:rPr>
        <w:t> </w:t>
      </w:r>
      <w:r w:rsidR="00766E6F">
        <w:rPr>
          <w:rFonts w:ascii="Arial" w:hAnsi="Arial" w:cs="Arial"/>
        </w:rPr>
        <w:t>Prozent</w:t>
      </w:r>
      <w:r w:rsidR="00BE2BD4" w:rsidRPr="00420097">
        <w:rPr>
          <w:rFonts w:ascii="Arial" w:hAnsi="Arial" w:cs="Arial"/>
        </w:rPr>
        <w:t xml:space="preserve">. Mit einer wesentlichen Steigerung ist aber nicht zu rechnen, da das haptische Erleben der Produkte im Fachhandel </w:t>
      </w:r>
      <w:r w:rsidR="00766E6F">
        <w:rPr>
          <w:rFonts w:ascii="Arial" w:hAnsi="Arial" w:cs="Arial"/>
        </w:rPr>
        <w:t xml:space="preserve">nach wie vor </w:t>
      </w:r>
      <w:r w:rsidR="00BE2BD4" w:rsidRPr="00420097">
        <w:rPr>
          <w:rFonts w:ascii="Arial" w:hAnsi="Arial" w:cs="Arial"/>
        </w:rPr>
        <w:t>vom Kunden gewünscht wird bzw. die individuelle Anfertigung eine</w:t>
      </w:r>
      <w:r w:rsidR="00A91453" w:rsidRPr="00420097">
        <w:rPr>
          <w:rFonts w:ascii="Arial" w:hAnsi="Arial" w:cs="Arial"/>
        </w:rPr>
        <w:t>s</w:t>
      </w:r>
      <w:r w:rsidR="00BE2BD4" w:rsidRPr="00420097">
        <w:rPr>
          <w:rFonts w:ascii="Arial" w:hAnsi="Arial" w:cs="Arial"/>
        </w:rPr>
        <w:t xml:space="preserve"> Produkts den persönlichen Kontakt vor Ort nicht ersetzt.</w:t>
      </w:r>
    </w:p>
    <w:p w14:paraId="271BC03F" w14:textId="324088DD" w:rsidR="000827B6" w:rsidRPr="00420097" w:rsidRDefault="00766E6F" w:rsidP="008D34A2">
      <w:pPr>
        <w:pStyle w:val="Kopfzeile"/>
        <w:tabs>
          <w:tab w:val="clear" w:pos="4536"/>
          <w:tab w:val="clear" w:pos="9072"/>
        </w:tabs>
        <w:spacing w:before="240" w:line="360" w:lineRule="auto"/>
        <w:jc w:val="both"/>
        <w:rPr>
          <w:rFonts w:ascii="Arial" w:hAnsi="Arial" w:cs="Arial"/>
          <w:b/>
          <w:bCs/>
        </w:rPr>
      </w:pPr>
      <w:r>
        <w:rPr>
          <w:rFonts w:ascii="Arial" w:hAnsi="Arial" w:cs="Arial"/>
          <w:b/>
          <w:bCs/>
        </w:rPr>
        <w:t>Ein Ausblick/</w:t>
      </w:r>
      <w:r w:rsidR="00704A82" w:rsidRPr="00420097">
        <w:rPr>
          <w:rFonts w:ascii="Arial" w:hAnsi="Arial" w:cs="Arial"/>
          <w:b/>
          <w:bCs/>
        </w:rPr>
        <w:t>Trend</w:t>
      </w:r>
    </w:p>
    <w:p w14:paraId="54EC2928" w14:textId="6D52A473" w:rsidR="002A5A25" w:rsidRPr="00420097" w:rsidRDefault="005154FE" w:rsidP="00420097">
      <w:pPr>
        <w:pStyle w:val="Kopfzeile"/>
        <w:spacing w:before="120" w:line="360" w:lineRule="auto"/>
        <w:jc w:val="both"/>
        <w:rPr>
          <w:rFonts w:ascii="Arial" w:hAnsi="Arial" w:cs="Arial"/>
          <w:bCs/>
        </w:rPr>
      </w:pPr>
      <w:r>
        <w:rPr>
          <w:rFonts w:ascii="Arial" w:hAnsi="Arial" w:cs="Arial"/>
          <w:bCs/>
        </w:rPr>
        <w:t xml:space="preserve">Branchenindikator </w:t>
      </w:r>
      <w:r w:rsidR="002A5A25" w:rsidRPr="00420097">
        <w:rPr>
          <w:rFonts w:ascii="Arial" w:hAnsi="Arial" w:cs="Arial"/>
          <w:bCs/>
        </w:rPr>
        <w:t>Wohnungsneubau</w:t>
      </w:r>
    </w:p>
    <w:p w14:paraId="399EAF66" w14:textId="51ED5612" w:rsidR="00AE2F68" w:rsidRPr="00420097" w:rsidRDefault="00AE2F68" w:rsidP="00420097">
      <w:pPr>
        <w:pStyle w:val="Kopfzeile"/>
        <w:spacing w:before="120" w:line="360" w:lineRule="auto"/>
        <w:jc w:val="both"/>
        <w:rPr>
          <w:rFonts w:ascii="Arial" w:hAnsi="Arial" w:cs="Arial"/>
          <w:bCs/>
          <w:color w:val="000000" w:themeColor="text1"/>
        </w:rPr>
      </w:pPr>
      <w:r w:rsidRPr="00420097">
        <w:rPr>
          <w:rFonts w:ascii="Arial" w:hAnsi="Arial" w:cs="Arial"/>
          <w:bCs/>
          <w:color w:val="000000" w:themeColor="text1"/>
        </w:rPr>
        <w:t xml:space="preserve">Die Bauindustrie und der ZDB bekundeten auf Ihrer </w:t>
      </w:r>
      <w:r w:rsidR="005B3F43" w:rsidRPr="00420097">
        <w:rPr>
          <w:rFonts w:ascii="Arial" w:hAnsi="Arial" w:cs="Arial"/>
          <w:bCs/>
          <w:color w:val="000000" w:themeColor="text1"/>
        </w:rPr>
        <w:t>J</w:t>
      </w:r>
      <w:r w:rsidRPr="00420097">
        <w:rPr>
          <w:rFonts w:ascii="Arial" w:hAnsi="Arial" w:cs="Arial"/>
          <w:bCs/>
          <w:color w:val="000000" w:themeColor="text1"/>
        </w:rPr>
        <w:t>ahreskonferenz im Dezember 2021, dass der Wohnungsbau auch in den „Corona-Jahren“ Stützpfeiler der Baukonjunktur geblieben ist.</w:t>
      </w:r>
    </w:p>
    <w:p w14:paraId="2674532D" w14:textId="586F5E2A" w:rsidR="00FE2D65" w:rsidRPr="00420097" w:rsidRDefault="00AE2F68" w:rsidP="00420097">
      <w:pPr>
        <w:pStyle w:val="Kopfzeile"/>
        <w:spacing w:before="120" w:line="360" w:lineRule="auto"/>
        <w:jc w:val="both"/>
        <w:rPr>
          <w:rFonts w:ascii="Arial" w:hAnsi="Arial" w:cs="Arial"/>
          <w:bCs/>
          <w:color w:val="000000" w:themeColor="text1"/>
        </w:rPr>
      </w:pPr>
      <w:r w:rsidRPr="00420097">
        <w:rPr>
          <w:rFonts w:ascii="Arial" w:hAnsi="Arial" w:cs="Arial"/>
          <w:bCs/>
          <w:color w:val="000000" w:themeColor="text1"/>
        </w:rPr>
        <w:t>Ende September 2021 lagen die Auftragsbestände bei fast 13</w:t>
      </w:r>
      <w:r w:rsidR="005154FE">
        <w:rPr>
          <w:rFonts w:ascii="Arial" w:hAnsi="Arial" w:cs="Arial"/>
          <w:bCs/>
          <w:color w:val="000000" w:themeColor="text1"/>
        </w:rPr>
        <w:t> </w:t>
      </w:r>
      <w:r w:rsidRPr="00420097">
        <w:rPr>
          <w:rFonts w:ascii="Arial" w:hAnsi="Arial" w:cs="Arial"/>
          <w:bCs/>
          <w:color w:val="000000" w:themeColor="text1"/>
        </w:rPr>
        <w:t>Milliarden Euro, eine Steigerung zum Vorjahreswert um fast 20</w:t>
      </w:r>
      <w:r w:rsidR="0037292C">
        <w:rPr>
          <w:rFonts w:ascii="Arial" w:hAnsi="Arial" w:cs="Arial"/>
          <w:bCs/>
          <w:color w:val="000000" w:themeColor="text1"/>
        </w:rPr>
        <w:t> </w:t>
      </w:r>
      <w:r w:rsidRPr="00420097">
        <w:rPr>
          <w:rFonts w:ascii="Arial" w:hAnsi="Arial" w:cs="Arial"/>
          <w:bCs/>
          <w:color w:val="000000" w:themeColor="text1"/>
        </w:rPr>
        <w:t>Prozent. Die Nachfrage nach Wohnraum lässt nicht nach. Bis September wurden gut 282.000 Wohnungen genehmigt, ca. 5</w:t>
      </w:r>
      <w:r w:rsidR="0037292C">
        <w:rPr>
          <w:rFonts w:ascii="Arial" w:hAnsi="Arial" w:cs="Arial"/>
          <w:bCs/>
          <w:color w:val="000000" w:themeColor="text1"/>
        </w:rPr>
        <w:t> </w:t>
      </w:r>
      <w:r w:rsidRPr="00420097">
        <w:rPr>
          <w:rFonts w:ascii="Arial" w:hAnsi="Arial" w:cs="Arial"/>
          <w:bCs/>
          <w:color w:val="000000" w:themeColor="text1"/>
        </w:rPr>
        <w:t>Prozent mehr als im Vorjahreszeitraum. Die Bundesregierung geht mit dem formulierten Ziel, in der Legislaturperiode jährlich 400.000</w:t>
      </w:r>
      <w:r w:rsidR="0020420F">
        <w:rPr>
          <w:rFonts w:ascii="Arial" w:hAnsi="Arial" w:cs="Arial"/>
          <w:bCs/>
          <w:color w:val="000000" w:themeColor="text1"/>
        </w:rPr>
        <w:t xml:space="preserve"> </w:t>
      </w:r>
      <w:r w:rsidRPr="00420097">
        <w:rPr>
          <w:rFonts w:ascii="Arial" w:hAnsi="Arial" w:cs="Arial"/>
          <w:bCs/>
          <w:color w:val="000000" w:themeColor="text1"/>
        </w:rPr>
        <w:t xml:space="preserve">Wohnungen zu errichten, richtigerweise davon aus, dass letztlich nur mit der Schaffung neuen Wohnraums eine Entspannung auf dem Wohnungsmarkt zu erreichen ist. </w:t>
      </w:r>
    </w:p>
    <w:p w14:paraId="75DA2084" w14:textId="3498D189" w:rsidR="00AE2F68" w:rsidRPr="00420097" w:rsidRDefault="00AE2F68" w:rsidP="00420097">
      <w:pPr>
        <w:pStyle w:val="Kopfzeile"/>
        <w:spacing w:before="120" w:line="360" w:lineRule="auto"/>
        <w:jc w:val="both"/>
        <w:rPr>
          <w:rFonts w:ascii="Arial" w:hAnsi="Arial" w:cs="Arial"/>
          <w:bCs/>
          <w:color w:val="000000" w:themeColor="text1"/>
        </w:rPr>
      </w:pPr>
      <w:r w:rsidRPr="00420097">
        <w:rPr>
          <w:rFonts w:ascii="Arial" w:hAnsi="Arial" w:cs="Arial"/>
          <w:bCs/>
          <w:color w:val="000000" w:themeColor="text1"/>
        </w:rPr>
        <w:t>Für die Möbelbranche bedeutet dies</w:t>
      </w:r>
      <w:r w:rsidR="00100153" w:rsidRPr="00420097">
        <w:rPr>
          <w:rFonts w:ascii="Arial" w:hAnsi="Arial" w:cs="Arial"/>
          <w:bCs/>
          <w:color w:val="000000" w:themeColor="text1"/>
        </w:rPr>
        <w:t xml:space="preserve"> grundsätzlich</w:t>
      </w:r>
      <w:r w:rsidRPr="00420097">
        <w:rPr>
          <w:rFonts w:ascii="Arial" w:hAnsi="Arial" w:cs="Arial"/>
          <w:bCs/>
          <w:color w:val="000000" w:themeColor="text1"/>
        </w:rPr>
        <w:t xml:space="preserve">, </w:t>
      </w:r>
      <w:r w:rsidR="00100153" w:rsidRPr="00420097">
        <w:rPr>
          <w:rFonts w:ascii="Arial" w:hAnsi="Arial" w:cs="Arial"/>
          <w:bCs/>
          <w:color w:val="000000" w:themeColor="text1"/>
        </w:rPr>
        <w:t xml:space="preserve">dass </w:t>
      </w:r>
      <w:r w:rsidRPr="00420097">
        <w:rPr>
          <w:rFonts w:ascii="Arial" w:hAnsi="Arial" w:cs="Arial"/>
          <w:bCs/>
          <w:color w:val="000000" w:themeColor="text1"/>
        </w:rPr>
        <w:t>für 2022 ein positiver Ausblick gegeben werden kann</w:t>
      </w:r>
      <w:r w:rsidR="00100153" w:rsidRPr="00420097">
        <w:rPr>
          <w:rFonts w:ascii="Arial" w:hAnsi="Arial" w:cs="Arial"/>
          <w:bCs/>
          <w:color w:val="000000" w:themeColor="text1"/>
        </w:rPr>
        <w:t>. Der Bedarf an Küchen-, Polster- und Wohnungsmöbeln wird demnach anhalten.</w:t>
      </w:r>
      <w:r w:rsidR="00100153" w:rsidRPr="00420097">
        <w:rPr>
          <w:rFonts w:ascii="Arial" w:hAnsi="Arial" w:cs="Arial"/>
        </w:rPr>
        <w:t xml:space="preserve"> </w:t>
      </w:r>
      <w:r w:rsidR="00100153" w:rsidRPr="00420097">
        <w:rPr>
          <w:rFonts w:ascii="Arial" w:hAnsi="Arial" w:cs="Arial"/>
          <w:bCs/>
          <w:color w:val="000000" w:themeColor="text1"/>
        </w:rPr>
        <w:t>Jedoch können Störfaktoren wie das weitere Pandemiegeschehen, die Inflation, Lieferengpässe sowie erwarte</w:t>
      </w:r>
      <w:r w:rsidR="005154FE">
        <w:rPr>
          <w:rFonts w:ascii="Arial" w:hAnsi="Arial" w:cs="Arial"/>
          <w:bCs/>
          <w:color w:val="000000" w:themeColor="text1"/>
        </w:rPr>
        <w:t>te</w:t>
      </w:r>
      <w:r w:rsidR="00100153" w:rsidRPr="00420097">
        <w:rPr>
          <w:rFonts w:ascii="Arial" w:hAnsi="Arial" w:cs="Arial"/>
          <w:bCs/>
          <w:color w:val="000000" w:themeColor="text1"/>
        </w:rPr>
        <w:t xml:space="preserve"> Verschiebungen bei </w:t>
      </w:r>
      <w:r w:rsidR="00100153" w:rsidRPr="00420097">
        <w:rPr>
          <w:rFonts w:ascii="Arial" w:hAnsi="Arial" w:cs="Arial"/>
          <w:bCs/>
          <w:color w:val="000000" w:themeColor="text1"/>
        </w:rPr>
        <w:lastRenderedPageBreak/>
        <w:t>Konsumausgaben in andere Bereiche (bspw. Tourismus) zu Problemen führen. Daher ist es schwierig, eine konkrete Prognose zum aktuellen Zeitpunkt abzugeben.</w:t>
      </w:r>
    </w:p>
    <w:p w14:paraId="0185FFE3" w14:textId="6099DD63" w:rsidR="00704A82" w:rsidRPr="00420097" w:rsidRDefault="00704A82" w:rsidP="00420097">
      <w:pPr>
        <w:pStyle w:val="Kopfzeile"/>
        <w:spacing w:before="120" w:line="360" w:lineRule="auto"/>
        <w:jc w:val="both"/>
        <w:rPr>
          <w:rFonts w:ascii="Arial" w:hAnsi="Arial" w:cs="Arial"/>
          <w:bCs/>
          <w:color w:val="000000" w:themeColor="text1"/>
        </w:rPr>
      </w:pPr>
      <w:r w:rsidRPr="00420097">
        <w:rPr>
          <w:rFonts w:ascii="Arial" w:hAnsi="Arial" w:cs="Arial"/>
          <w:bCs/>
          <w:color w:val="000000" w:themeColor="text1"/>
        </w:rPr>
        <w:t>Abfallvermeidung, Recy</w:t>
      </w:r>
      <w:r w:rsidR="00DA1DDC">
        <w:rPr>
          <w:rFonts w:ascii="Arial" w:hAnsi="Arial" w:cs="Arial"/>
          <w:bCs/>
          <w:color w:val="000000" w:themeColor="text1"/>
        </w:rPr>
        <w:t>cling, Zero Waste und Upcycling</w:t>
      </w:r>
      <w:r w:rsidRPr="00420097">
        <w:rPr>
          <w:rFonts w:ascii="Arial" w:hAnsi="Arial" w:cs="Arial"/>
          <w:bCs/>
          <w:color w:val="000000" w:themeColor="text1"/>
        </w:rPr>
        <w:t xml:space="preserve"> sind weiterhin </w:t>
      </w:r>
      <w:r w:rsidR="008D46E8">
        <w:rPr>
          <w:rFonts w:ascii="Arial" w:hAnsi="Arial" w:cs="Arial"/>
          <w:bCs/>
          <w:color w:val="000000" w:themeColor="text1"/>
        </w:rPr>
        <w:t xml:space="preserve">die </w:t>
      </w:r>
      <w:r w:rsidRPr="00420097">
        <w:rPr>
          <w:rFonts w:ascii="Arial" w:hAnsi="Arial" w:cs="Arial"/>
          <w:bCs/>
          <w:color w:val="000000" w:themeColor="text1"/>
        </w:rPr>
        <w:t xml:space="preserve">Themen in der Interior-Branche. </w:t>
      </w:r>
      <w:r w:rsidR="00186018">
        <w:rPr>
          <w:rFonts w:ascii="Arial" w:hAnsi="Arial" w:cs="Arial"/>
          <w:bCs/>
          <w:color w:val="000000" w:themeColor="text1"/>
        </w:rPr>
        <w:t>Der Kauf n</w:t>
      </w:r>
      <w:r w:rsidR="00AA4600" w:rsidRPr="00420097">
        <w:rPr>
          <w:rFonts w:ascii="Arial" w:hAnsi="Arial" w:cs="Arial"/>
          <w:bCs/>
          <w:color w:val="000000" w:themeColor="text1"/>
        </w:rPr>
        <w:t>eue</w:t>
      </w:r>
      <w:r w:rsidR="00186018">
        <w:rPr>
          <w:rFonts w:ascii="Arial" w:hAnsi="Arial" w:cs="Arial"/>
          <w:bCs/>
          <w:color w:val="000000" w:themeColor="text1"/>
        </w:rPr>
        <w:t>r</w:t>
      </w:r>
      <w:r w:rsidR="00AA4600" w:rsidRPr="00420097">
        <w:rPr>
          <w:rFonts w:ascii="Arial" w:hAnsi="Arial" w:cs="Arial"/>
          <w:bCs/>
          <w:color w:val="000000" w:themeColor="text1"/>
        </w:rPr>
        <w:t xml:space="preserve"> Möbel </w:t>
      </w:r>
      <w:r w:rsidR="00186018">
        <w:rPr>
          <w:rFonts w:ascii="Arial" w:hAnsi="Arial" w:cs="Arial"/>
          <w:bCs/>
          <w:color w:val="000000" w:themeColor="text1"/>
        </w:rPr>
        <w:t xml:space="preserve">ist zeitgleich </w:t>
      </w:r>
      <w:r w:rsidR="00AA4600" w:rsidRPr="00420097">
        <w:rPr>
          <w:rFonts w:ascii="Arial" w:hAnsi="Arial" w:cs="Arial"/>
          <w:bCs/>
          <w:color w:val="000000" w:themeColor="text1"/>
        </w:rPr>
        <w:t>eine langjährige Investition. Daher achten die Kunden vermehrt darauf, dass diese Produkte nachhaltig und fair produziert werden.</w:t>
      </w:r>
      <w:r w:rsidR="00AA4600" w:rsidRPr="00420097">
        <w:rPr>
          <w:rFonts w:ascii="Arial" w:hAnsi="Arial" w:cs="Arial"/>
        </w:rPr>
        <w:t xml:space="preserve"> </w:t>
      </w:r>
      <w:r w:rsidR="00186018">
        <w:rPr>
          <w:rFonts w:ascii="Arial" w:hAnsi="Arial" w:cs="Arial"/>
          <w:bCs/>
          <w:color w:val="000000" w:themeColor="text1"/>
        </w:rPr>
        <w:t>Bei</w:t>
      </w:r>
      <w:r w:rsidR="00AA4600" w:rsidRPr="00420097">
        <w:rPr>
          <w:rFonts w:ascii="Arial" w:hAnsi="Arial" w:cs="Arial"/>
          <w:bCs/>
          <w:color w:val="000000" w:themeColor="text1"/>
        </w:rPr>
        <w:t xml:space="preserve"> Möbeln wird zunehmend auf robuste Materialien </w:t>
      </w:r>
      <w:r w:rsidR="004B341C">
        <w:rPr>
          <w:rFonts w:ascii="Arial" w:hAnsi="Arial" w:cs="Arial"/>
          <w:bCs/>
          <w:color w:val="000000" w:themeColor="text1"/>
        </w:rPr>
        <w:t xml:space="preserve">und gelabelte Produkte </w:t>
      </w:r>
      <w:r w:rsidR="00AA4600" w:rsidRPr="00420097">
        <w:rPr>
          <w:rFonts w:ascii="Arial" w:hAnsi="Arial" w:cs="Arial"/>
          <w:bCs/>
          <w:color w:val="000000" w:themeColor="text1"/>
        </w:rPr>
        <w:t>geachtet.</w:t>
      </w:r>
      <w:r w:rsidR="008B773A" w:rsidRPr="00420097">
        <w:rPr>
          <w:rFonts w:ascii="Arial" w:hAnsi="Arial" w:cs="Arial"/>
          <w:bCs/>
          <w:color w:val="000000" w:themeColor="text1"/>
        </w:rPr>
        <w:t xml:space="preserve"> Möbel aus Massiv- oder Vollholz werden </w:t>
      </w:r>
      <w:r w:rsidR="004B341C">
        <w:rPr>
          <w:rFonts w:ascii="Arial" w:hAnsi="Arial" w:cs="Arial"/>
          <w:bCs/>
          <w:color w:val="000000" w:themeColor="text1"/>
        </w:rPr>
        <w:t xml:space="preserve">wegen ihrer Langlebigkeit und Wertigkeit </w:t>
      </w:r>
      <w:r w:rsidR="008B773A" w:rsidRPr="00420097">
        <w:rPr>
          <w:rFonts w:ascii="Arial" w:hAnsi="Arial" w:cs="Arial"/>
          <w:bCs/>
          <w:color w:val="000000" w:themeColor="text1"/>
        </w:rPr>
        <w:t>verstärkt nachgefragt</w:t>
      </w:r>
      <w:r w:rsidR="004B341C">
        <w:rPr>
          <w:rFonts w:ascii="Arial" w:hAnsi="Arial" w:cs="Arial"/>
          <w:bCs/>
          <w:color w:val="000000" w:themeColor="text1"/>
        </w:rPr>
        <w:t xml:space="preserve">. </w:t>
      </w:r>
      <w:r w:rsidR="004B341C" w:rsidRPr="004B341C">
        <w:rPr>
          <w:rFonts w:ascii="Arial" w:hAnsi="Arial" w:cs="Arial"/>
          <w:bCs/>
          <w:color w:val="000000" w:themeColor="text1"/>
        </w:rPr>
        <w:t>Die Vorgaben aus der EU</w:t>
      </w:r>
      <w:r w:rsidR="004B341C">
        <w:rPr>
          <w:rFonts w:ascii="Arial" w:hAnsi="Arial" w:cs="Arial"/>
          <w:bCs/>
          <w:color w:val="000000" w:themeColor="text1"/>
        </w:rPr>
        <w:t xml:space="preserve"> zur </w:t>
      </w:r>
      <w:r w:rsidR="004B341C" w:rsidRPr="004B341C">
        <w:rPr>
          <w:rFonts w:ascii="Arial" w:hAnsi="Arial" w:cs="Arial"/>
          <w:bCs/>
          <w:color w:val="000000" w:themeColor="text1"/>
        </w:rPr>
        <w:t>Krei</w:t>
      </w:r>
      <w:r w:rsidR="004B341C">
        <w:rPr>
          <w:rFonts w:ascii="Arial" w:hAnsi="Arial" w:cs="Arial"/>
          <w:bCs/>
          <w:color w:val="000000" w:themeColor="text1"/>
        </w:rPr>
        <w:t>slaufwirtschaft werden</w:t>
      </w:r>
      <w:r w:rsidR="004B341C" w:rsidRPr="004B341C">
        <w:rPr>
          <w:rFonts w:ascii="Arial" w:hAnsi="Arial" w:cs="Arial"/>
          <w:bCs/>
          <w:color w:val="000000" w:themeColor="text1"/>
        </w:rPr>
        <w:t xml:space="preserve"> fern</w:t>
      </w:r>
      <w:r w:rsidR="004B341C">
        <w:rPr>
          <w:rFonts w:ascii="Arial" w:hAnsi="Arial" w:cs="Arial"/>
          <w:bCs/>
          <w:color w:val="000000" w:themeColor="text1"/>
        </w:rPr>
        <w:t>er zu einer Belebung von</w:t>
      </w:r>
      <w:r w:rsidR="004B341C" w:rsidRPr="004B341C">
        <w:rPr>
          <w:rFonts w:ascii="Arial" w:hAnsi="Arial" w:cs="Arial"/>
          <w:bCs/>
          <w:color w:val="000000" w:themeColor="text1"/>
        </w:rPr>
        <w:t xml:space="preserve"> Dienstleistungen</w:t>
      </w:r>
      <w:r w:rsidR="004B341C">
        <w:rPr>
          <w:rFonts w:ascii="Arial" w:hAnsi="Arial" w:cs="Arial"/>
          <w:bCs/>
          <w:color w:val="000000" w:themeColor="text1"/>
        </w:rPr>
        <w:t xml:space="preserve"> wie beispielsweise Refurbished und </w:t>
      </w:r>
      <w:r w:rsidR="004B341C" w:rsidRPr="004B341C">
        <w:rPr>
          <w:rFonts w:ascii="Arial" w:hAnsi="Arial" w:cs="Arial"/>
          <w:bCs/>
          <w:color w:val="000000" w:themeColor="text1"/>
        </w:rPr>
        <w:t>Möbel zur Miete</w:t>
      </w:r>
      <w:r w:rsidR="004B341C">
        <w:rPr>
          <w:rFonts w:ascii="Arial" w:hAnsi="Arial" w:cs="Arial"/>
          <w:bCs/>
          <w:color w:val="000000" w:themeColor="text1"/>
        </w:rPr>
        <w:t xml:space="preserve"> </w:t>
      </w:r>
      <w:r w:rsidR="004B341C" w:rsidRPr="004B341C">
        <w:rPr>
          <w:rFonts w:ascii="Arial" w:hAnsi="Arial" w:cs="Arial"/>
          <w:bCs/>
          <w:color w:val="000000" w:themeColor="text1"/>
        </w:rPr>
        <w:t>führen.</w:t>
      </w:r>
    </w:p>
    <w:p w14:paraId="58CD8946" w14:textId="5E5ED658" w:rsidR="007C4EA0" w:rsidRPr="00420097" w:rsidRDefault="007C4EA0" w:rsidP="008D34A2">
      <w:pPr>
        <w:pStyle w:val="Kopfzeile"/>
        <w:tabs>
          <w:tab w:val="clear" w:pos="4536"/>
          <w:tab w:val="clear" w:pos="9072"/>
        </w:tabs>
        <w:spacing w:before="240" w:line="360" w:lineRule="auto"/>
        <w:jc w:val="both"/>
        <w:rPr>
          <w:rFonts w:ascii="Arial" w:hAnsi="Arial" w:cs="Arial"/>
          <w:b/>
          <w:color w:val="000000" w:themeColor="text1"/>
        </w:rPr>
      </w:pPr>
      <w:r w:rsidRPr="00420097">
        <w:rPr>
          <w:rFonts w:ascii="Arial" w:hAnsi="Arial" w:cs="Arial"/>
          <w:b/>
          <w:color w:val="000000" w:themeColor="text1"/>
        </w:rPr>
        <w:t>Die imm cologne und Living</w:t>
      </w:r>
      <w:r w:rsidR="00156637">
        <w:rPr>
          <w:rFonts w:ascii="Arial" w:hAnsi="Arial" w:cs="Arial"/>
          <w:b/>
          <w:color w:val="000000" w:themeColor="text1"/>
        </w:rPr>
        <w:t xml:space="preserve"> </w:t>
      </w:r>
      <w:r w:rsidRPr="00420097">
        <w:rPr>
          <w:rFonts w:ascii="Arial" w:hAnsi="Arial" w:cs="Arial"/>
          <w:b/>
          <w:color w:val="000000" w:themeColor="text1"/>
        </w:rPr>
        <w:t>Kitchen prägen die Branch</w:t>
      </w:r>
      <w:r w:rsidR="00156637">
        <w:rPr>
          <w:rFonts w:ascii="Arial" w:hAnsi="Arial" w:cs="Arial"/>
          <w:b/>
          <w:color w:val="000000" w:themeColor="text1"/>
        </w:rPr>
        <w:t>e und stärken die Stellung der d</w:t>
      </w:r>
      <w:r w:rsidRPr="00420097">
        <w:rPr>
          <w:rFonts w:ascii="Arial" w:hAnsi="Arial" w:cs="Arial"/>
          <w:b/>
          <w:color w:val="000000" w:themeColor="text1"/>
        </w:rPr>
        <w:t>eutschen Möbel- und Küchenbranche</w:t>
      </w:r>
      <w:r w:rsidR="00156637">
        <w:rPr>
          <w:rFonts w:ascii="Arial" w:hAnsi="Arial" w:cs="Arial"/>
          <w:b/>
          <w:color w:val="000000" w:themeColor="text1"/>
        </w:rPr>
        <w:t>.</w:t>
      </w:r>
    </w:p>
    <w:p w14:paraId="436DC509" w14:textId="50F7B5E0" w:rsidR="00381446" w:rsidRPr="00420097" w:rsidRDefault="00BC6326" w:rsidP="00420097">
      <w:pPr>
        <w:spacing w:before="120" w:line="360" w:lineRule="auto"/>
        <w:jc w:val="both"/>
        <w:rPr>
          <w:rFonts w:ascii="Arial" w:hAnsi="Arial" w:cs="Arial"/>
          <w:color w:val="000000" w:themeColor="text1"/>
        </w:rPr>
      </w:pPr>
      <w:r w:rsidRPr="00420097">
        <w:rPr>
          <w:rFonts w:ascii="Arial" w:hAnsi="Arial" w:cs="Arial"/>
          <w:color w:val="000000" w:themeColor="text1"/>
        </w:rPr>
        <w:t xml:space="preserve">Der deutsche Möbelhandel baut </w:t>
      </w:r>
      <w:r w:rsidR="00704A82" w:rsidRPr="00420097">
        <w:rPr>
          <w:rFonts w:ascii="Arial" w:hAnsi="Arial" w:cs="Arial"/>
          <w:color w:val="000000" w:themeColor="text1"/>
        </w:rPr>
        <w:t xml:space="preserve">weiterhin </w:t>
      </w:r>
      <w:r w:rsidRPr="00420097">
        <w:rPr>
          <w:rFonts w:ascii="Arial" w:hAnsi="Arial" w:cs="Arial"/>
          <w:color w:val="000000" w:themeColor="text1"/>
        </w:rPr>
        <w:t>auf die imm cologne und die Living Kitchen</w:t>
      </w:r>
      <w:r w:rsidR="00704A82" w:rsidRPr="00420097">
        <w:rPr>
          <w:rFonts w:ascii="Arial" w:hAnsi="Arial" w:cs="Arial"/>
          <w:color w:val="000000" w:themeColor="text1"/>
        </w:rPr>
        <w:t xml:space="preserve"> im Jahr 2023.</w:t>
      </w:r>
      <w:r w:rsidR="00AB1BC4" w:rsidRPr="00420097">
        <w:rPr>
          <w:rFonts w:ascii="Arial" w:hAnsi="Arial" w:cs="Arial"/>
          <w:color w:val="000000" w:themeColor="text1"/>
        </w:rPr>
        <w:t xml:space="preserve"> </w:t>
      </w:r>
      <w:r w:rsidRPr="00420097">
        <w:rPr>
          <w:rFonts w:ascii="Arial" w:hAnsi="Arial" w:cs="Arial"/>
          <w:color w:val="000000" w:themeColor="text1"/>
        </w:rPr>
        <w:t xml:space="preserve">Umso schmerzlicher war für die </w:t>
      </w:r>
      <w:r w:rsidR="00381446" w:rsidRPr="00420097">
        <w:rPr>
          <w:rFonts w:ascii="Arial" w:hAnsi="Arial" w:cs="Arial"/>
          <w:color w:val="000000" w:themeColor="text1"/>
        </w:rPr>
        <w:t xml:space="preserve">gesamte </w:t>
      </w:r>
      <w:r w:rsidRPr="00420097">
        <w:rPr>
          <w:rFonts w:ascii="Arial" w:hAnsi="Arial" w:cs="Arial"/>
          <w:color w:val="000000" w:themeColor="text1"/>
        </w:rPr>
        <w:t xml:space="preserve">Branche die </w:t>
      </w:r>
      <w:r w:rsidR="00704A82" w:rsidRPr="00420097">
        <w:rPr>
          <w:rFonts w:ascii="Arial" w:hAnsi="Arial" w:cs="Arial"/>
          <w:color w:val="000000" w:themeColor="text1"/>
        </w:rPr>
        <w:t xml:space="preserve">erneut </w:t>
      </w:r>
      <w:r w:rsidRPr="00420097">
        <w:rPr>
          <w:rFonts w:ascii="Arial" w:hAnsi="Arial" w:cs="Arial"/>
          <w:color w:val="000000" w:themeColor="text1"/>
        </w:rPr>
        <w:t xml:space="preserve">unvermeidbare Absage der wichtigsten </w:t>
      </w:r>
      <w:r w:rsidR="00381446" w:rsidRPr="00420097">
        <w:rPr>
          <w:rFonts w:ascii="Arial" w:hAnsi="Arial" w:cs="Arial"/>
          <w:color w:val="000000" w:themeColor="text1"/>
        </w:rPr>
        <w:t>Leitmesse</w:t>
      </w:r>
      <w:r w:rsidR="00704A82" w:rsidRPr="00420097">
        <w:rPr>
          <w:rFonts w:ascii="Arial" w:hAnsi="Arial" w:cs="Arial"/>
          <w:color w:val="000000" w:themeColor="text1"/>
        </w:rPr>
        <w:t xml:space="preserve"> in 2022</w:t>
      </w:r>
      <w:r w:rsidRPr="00420097">
        <w:rPr>
          <w:rFonts w:ascii="Arial" w:hAnsi="Arial" w:cs="Arial"/>
          <w:color w:val="000000" w:themeColor="text1"/>
        </w:rPr>
        <w:t xml:space="preserve">. </w:t>
      </w:r>
    </w:p>
    <w:p w14:paraId="46E0A424" w14:textId="2EBC3FC7" w:rsidR="007C4EA0" w:rsidRPr="00420097" w:rsidRDefault="00381446" w:rsidP="00420097">
      <w:pPr>
        <w:spacing w:before="120" w:line="360" w:lineRule="auto"/>
        <w:jc w:val="both"/>
        <w:rPr>
          <w:rFonts w:ascii="Arial" w:hAnsi="Arial" w:cs="Arial"/>
          <w:color w:val="000000" w:themeColor="text1"/>
        </w:rPr>
      </w:pPr>
      <w:r w:rsidRPr="00420097">
        <w:rPr>
          <w:rFonts w:ascii="Arial" w:hAnsi="Arial" w:cs="Arial"/>
          <w:color w:val="000000" w:themeColor="text1"/>
        </w:rPr>
        <w:t>Der BVDM ist der festen Überzeugung, dass nur eine stabile</w:t>
      </w:r>
      <w:r w:rsidR="00AB1BC4" w:rsidRPr="00420097">
        <w:rPr>
          <w:rFonts w:ascii="Arial" w:hAnsi="Arial" w:cs="Arial"/>
          <w:color w:val="000000" w:themeColor="text1"/>
        </w:rPr>
        <w:t xml:space="preserve"> und starke Messewirtschaft </w:t>
      </w:r>
      <w:r w:rsidRPr="00420097">
        <w:rPr>
          <w:rFonts w:ascii="Arial" w:hAnsi="Arial" w:cs="Arial"/>
          <w:color w:val="000000" w:themeColor="text1"/>
        </w:rPr>
        <w:t>der Garant für ein erfolgreiches B2B- und B2C-Business</w:t>
      </w:r>
      <w:r w:rsidR="00AB1BC4" w:rsidRPr="00420097">
        <w:rPr>
          <w:rFonts w:ascii="Arial" w:hAnsi="Arial" w:cs="Arial"/>
          <w:color w:val="000000" w:themeColor="text1"/>
        </w:rPr>
        <w:t xml:space="preserve"> sein kann</w:t>
      </w:r>
      <w:r w:rsidRPr="00420097">
        <w:rPr>
          <w:rFonts w:ascii="Arial" w:hAnsi="Arial" w:cs="Arial"/>
          <w:color w:val="000000" w:themeColor="text1"/>
        </w:rPr>
        <w:t>. Nur auf dem physischen Marktplatz Messe sind zuverlässige und valide Neukundengewinnungen, Stammkundenpflege, Networking, Weiterbildung, Produktpräsen</w:t>
      </w:r>
      <w:r w:rsidR="00DD11AA" w:rsidRPr="00420097">
        <w:rPr>
          <w:rFonts w:ascii="Arial" w:hAnsi="Arial" w:cs="Arial"/>
          <w:color w:val="000000" w:themeColor="text1"/>
        </w:rPr>
        <w:softHyphen/>
      </w:r>
      <w:r w:rsidRPr="00420097">
        <w:rPr>
          <w:rFonts w:ascii="Arial" w:hAnsi="Arial" w:cs="Arial"/>
          <w:color w:val="000000" w:themeColor="text1"/>
        </w:rPr>
        <w:t xml:space="preserve">tationen, Imagetransfer, Verkaufs- und Vertragsabschlüsse sowie der Aufbau neuer Vertriebswege an einem Ort möglich. </w:t>
      </w:r>
    </w:p>
    <w:p w14:paraId="5EFA7817" w14:textId="7EF74B88" w:rsidR="00CA6674" w:rsidRPr="00DA1DDC" w:rsidRDefault="00CA6674" w:rsidP="00420097">
      <w:pPr>
        <w:spacing w:after="120" w:line="360" w:lineRule="auto"/>
        <w:jc w:val="both"/>
        <w:rPr>
          <w:rFonts w:ascii="Arial" w:hAnsi="Arial" w:cs="Arial"/>
          <w:color w:val="000000" w:themeColor="text1"/>
          <w:sz w:val="16"/>
          <w:szCs w:val="16"/>
        </w:rPr>
      </w:pPr>
      <w:r w:rsidRPr="00DA1DDC">
        <w:rPr>
          <w:rFonts w:ascii="Arial" w:hAnsi="Arial" w:cs="Arial"/>
          <w:color w:val="000000" w:themeColor="text1"/>
          <w:sz w:val="16"/>
          <w:szCs w:val="16"/>
        </w:rPr>
        <w:t xml:space="preserve">Der </w:t>
      </w:r>
      <w:r w:rsidR="00B30AF8" w:rsidRPr="00DA1DDC">
        <w:rPr>
          <w:rFonts w:ascii="Arial" w:hAnsi="Arial" w:cs="Arial"/>
          <w:color w:val="000000" w:themeColor="text1"/>
          <w:sz w:val="16"/>
          <w:szCs w:val="16"/>
        </w:rPr>
        <w:t>Handelsverband Möbel und Küchen</w:t>
      </w:r>
      <w:r w:rsidRPr="00DA1DDC">
        <w:rPr>
          <w:rFonts w:ascii="Arial" w:hAnsi="Arial" w:cs="Arial"/>
          <w:color w:val="000000" w:themeColor="text1"/>
          <w:sz w:val="16"/>
          <w:szCs w:val="16"/>
        </w:rPr>
        <w:t xml:space="preserve"> (BVDM) ist die berufspolitische und branchenfachliche Interessenvertretung des Fachhandels mit Möbeln, Küchen und Einrichtungsgegenständen in Deutschland. Der Verband vertritt die Interessen von rund </w:t>
      </w:r>
      <w:r w:rsidR="00944881" w:rsidRPr="00DA1DDC">
        <w:rPr>
          <w:rFonts w:ascii="Arial" w:hAnsi="Arial" w:cs="Arial"/>
          <w:color w:val="000000" w:themeColor="text1"/>
          <w:sz w:val="16"/>
          <w:szCs w:val="16"/>
        </w:rPr>
        <w:t>8</w:t>
      </w:r>
      <w:r w:rsidRPr="00DA1DDC">
        <w:rPr>
          <w:rFonts w:ascii="Arial" w:hAnsi="Arial" w:cs="Arial"/>
          <w:color w:val="000000" w:themeColor="text1"/>
          <w:sz w:val="16"/>
          <w:szCs w:val="16"/>
        </w:rPr>
        <w:t>.</w:t>
      </w:r>
      <w:r w:rsidR="00944881" w:rsidRPr="00DA1DDC">
        <w:rPr>
          <w:rFonts w:ascii="Arial" w:hAnsi="Arial" w:cs="Arial"/>
          <w:color w:val="000000" w:themeColor="text1"/>
          <w:sz w:val="16"/>
          <w:szCs w:val="16"/>
        </w:rPr>
        <w:t>5</w:t>
      </w:r>
      <w:r w:rsidRPr="00DA1DDC">
        <w:rPr>
          <w:rFonts w:ascii="Arial" w:hAnsi="Arial" w:cs="Arial"/>
          <w:color w:val="000000" w:themeColor="text1"/>
          <w:sz w:val="16"/>
          <w:szCs w:val="16"/>
        </w:rPr>
        <w:t>00 Unternehmen an rund 10.000 Standorten mit ca. 1</w:t>
      </w:r>
      <w:r w:rsidR="00944881" w:rsidRPr="00DA1DDC">
        <w:rPr>
          <w:rFonts w:ascii="Arial" w:hAnsi="Arial" w:cs="Arial"/>
          <w:color w:val="000000" w:themeColor="text1"/>
          <w:sz w:val="16"/>
          <w:szCs w:val="16"/>
        </w:rPr>
        <w:t>4</w:t>
      </w:r>
      <w:r w:rsidRPr="00DA1DDC">
        <w:rPr>
          <w:rFonts w:ascii="Arial" w:hAnsi="Arial" w:cs="Arial"/>
          <w:color w:val="000000" w:themeColor="text1"/>
          <w:sz w:val="16"/>
          <w:szCs w:val="16"/>
        </w:rPr>
        <w:t>0.000 Beschäftigten. Der BVDM gehört als Fachverband dem Handelsverband Deutschland (HDE) an. Seine acht Landesverbände betreuen den Möbel-, Küchen- und Einrichtungs</w:t>
      </w:r>
      <w:bookmarkStart w:id="0" w:name="_GoBack"/>
      <w:bookmarkEnd w:id="0"/>
      <w:r w:rsidRPr="00DA1DDC">
        <w:rPr>
          <w:rFonts w:ascii="Arial" w:hAnsi="Arial" w:cs="Arial"/>
          <w:color w:val="000000" w:themeColor="text1"/>
          <w:sz w:val="16"/>
          <w:szCs w:val="16"/>
        </w:rPr>
        <w:t xml:space="preserve">fachhandel der </w:t>
      </w:r>
      <w:r w:rsidR="005B5E04" w:rsidRPr="00DA1DDC">
        <w:rPr>
          <w:rFonts w:ascii="Arial" w:hAnsi="Arial" w:cs="Arial"/>
          <w:color w:val="000000" w:themeColor="text1"/>
          <w:sz w:val="16"/>
          <w:szCs w:val="16"/>
        </w:rPr>
        <w:t>H</w:t>
      </w:r>
      <w:r w:rsidRPr="00DA1DDC">
        <w:rPr>
          <w:rFonts w:ascii="Arial" w:hAnsi="Arial" w:cs="Arial"/>
          <w:color w:val="000000" w:themeColor="text1"/>
          <w:sz w:val="16"/>
          <w:szCs w:val="16"/>
        </w:rPr>
        <w:t>andelsorganisation vor Ort.</w:t>
      </w:r>
    </w:p>
    <w:p w14:paraId="49DDF773" w14:textId="78D04E8E" w:rsidR="00CA6674" w:rsidRPr="00836EB9" w:rsidRDefault="00CA6674" w:rsidP="00420097">
      <w:pPr>
        <w:rPr>
          <w:rFonts w:ascii="Arial" w:hAnsi="Arial" w:cs="Arial"/>
          <w:color w:val="000000" w:themeColor="text1"/>
          <w:sz w:val="20"/>
          <w:szCs w:val="20"/>
        </w:rPr>
      </w:pPr>
      <w:r w:rsidRPr="00836EB9">
        <w:rPr>
          <w:rFonts w:ascii="Arial" w:hAnsi="Arial" w:cs="Arial"/>
          <w:b/>
          <w:color w:val="000000" w:themeColor="text1"/>
          <w:sz w:val="20"/>
          <w:szCs w:val="20"/>
        </w:rPr>
        <w:t>Kontakt:</w:t>
      </w:r>
      <w:r w:rsidR="00B30AF8" w:rsidRPr="00836EB9">
        <w:rPr>
          <w:rFonts w:ascii="Arial" w:hAnsi="Arial" w:cs="Arial"/>
          <w:b/>
          <w:color w:val="000000" w:themeColor="text1"/>
          <w:sz w:val="20"/>
          <w:szCs w:val="20"/>
        </w:rPr>
        <w:br/>
      </w:r>
      <w:r w:rsidR="00B30AF8" w:rsidRPr="00836EB9">
        <w:rPr>
          <w:rFonts w:ascii="Arial" w:hAnsi="Arial" w:cs="Arial"/>
          <w:color w:val="000000" w:themeColor="text1"/>
          <w:sz w:val="20"/>
          <w:szCs w:val="20"/>
        </w:rPr>
        <w:t>Handelsverband Möbel und Küchen (BVDM)</w:t>
      </w:r>
      <w:r w:rsidR="00B30AF8" w:rsidRPr="00836EB9">
        <w:rPr>
          <w:rFonts w:ascii="Arial" w:hAnsi="Arial" w:cs="Arial"/>
          <w:color w:val="000000" w:themeColor="text1"/>
          <w:sz w:val="20"/>
          <w:szCs w:val="20"/>
        </w:rPr>
        <w:br/>
      </w:r>
      <w:r w:rsidRPr="00836EB9">
        <w:rPr>
          <w:rFonts w:ascii="Arial" w:hAnsi="Arial" w:cs="Arial"/>
          <w:color w:val="000000" w:themeColor="text1"/>
          <w:sz w:val="20"/>
          <w:szCs w:val="20"/>
        </w:rPr>
        <w:t>Frangenheimstraße 6, 50931 Köln</w:t>
      </w:r>
      <w:r w:rsidR="00B30AF8" w:rsidRPr="00836EB9">
        <w:rPr>
          <w:rFonts w:ascii="Arial" w:hAnsi="Arial" w:cs="Arial"/>
          <w:color w:val="000000" w:themeColor="text1"/>
          <w:sz w:val="20"/>
          <w:szCs w:val="20"/>
        </w:rPr>
        <w:br/>
      </w:r>
      <w:r w:rsidR="00E53208" w:rsidRPr="00836EB9">
        <w:rPr>
          <w:rFonts w:ascii="Arial" w:hAnsi="Arial" w:cs="Arial"/>
          <w:color w:val="000000" w:themeColor="text1"/>
          <w:sz w:val="20"/>
          <w:szCs w:val="20"/>
        </w:rPr>
        <w:t>Tel. 0221/940 83-50</w:t>
      </w:r>
      <w:r w:rsidR="00B30AF8" w:rsidRPr="00836EB9">
        <w:rPr>
          <w:rFonts w:ascii="Arial" w:hAnsi="Arial" w:cs="Arial"/>
          <w:color w:val="000000" w:themeColor="text1"/>
          <w:sz w:val="20"/>
          <w:szCs w:val="20"/>
        </w:rPr>
        <w:br/>
      </w:r>
      <w:r w:rsidRPr="00836EB9">
        <w:rPr>
          <w:rFonts w:ascii="Arial" w:hAnsi="Arial" w:cs="Arial"/>
          <w:color w:val="000000" w:themeColor="text1"/>
          <w:sz w:val="20"/>
          <w:szCs w:val="20"/>
        </w:rPr>
        <w:t>bvdm@</w:t>
      </w:r>
      <w:r w:rsidR="00F175A3" w:rsidRPr="00836EB9">
        <w:rPr>
          <w:rFonts w:ascii="Arial" w:hAnsi="Arial" w:cs="Arial"/>
          <w:color w:val="000000" w:themeColor="text1"/>
          <w:sz w:val="20"/>
          <w:szCs w:val="20"/>
        </w:rPr>
        <w:t>hwb.online</w:t>
      </w:r>
      <w:r w:rsidRPr="00836EB9">
        <w:rPr>
          <w:rFonts w:ascii="Arial" w:hAnsi="Arial" w:cs="Arial"/>
          <w:color w:val="000000" w:themeColor="text1"/>
          <w:sz w:val="20"/>
          <w:szCs w:val="20"/>
        </w:rPr>
        <w:t xml:space="preserve">, </w:t>
      </w:r>
      <w:r w:rsidR="00B30AF8" w:rsidRPr="00836EB9">
        <w:rPr>
          <w:rFonts w:ascii="Arial" w:hAnsi="Arial" w:cs="Arial"/>
          <w:color w:val="000000" w:themeColor="text1"/>
          <w:sz w:val="20"/>
          <w:szCs w:val="20"/>
        </w:rPr>
        <w:t>www.</w:t>
      </w:r>
      <w:r w:rsidR="00F175A3" w:rsidRPr="00836EB9">
        <w:rPr>
          <w:rFonts w:ascii="Arial" w:hAnsi="Arial" w:cs="Arial"/>
          <w:color w:val="000000" w:themeColor="text1"/>
          <w:sz w:val="20"/>
          <w:szCs w:val="20"/>
        </w:rPr>
        <w:t>hwb.online</w:t>
      </w:r>
    </w:p>
    <w:sectPr w:rsidR="00CA6674" w:rsidRPr="00836EB9" w:rsidSect="00A13CB4">
      <w:headerReference w:type="default" r:id="rId9"/>
      <w:pgSz w:w="11906" w:h="16838"/>
      <w:pgMar w:top="1417" w:right="3826"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F747" w16cex:dateUtc="2022-02-18T08:14:00Z"/>
  <w16cex:commentExtensible w16cex:durableId="25B9F748" w16cex:dateUtc="2022-02-18T08:22:00Z"/>
  <w16cex:commentExtensible w16cex:durableId="25B9FEAA" w16cex:dateUtc="2022-02-18T10:16:00Z"/>
  <w16cex:commentExtensible w16cex:durableId="25B9FEF7" w16cex:dateUtc="2022-02-18T10:18:00Z"/>
  <w16cex:commentExtensible w16cex:durableId="25B9F749" w16cex:dateUtc="2022-02-18T09:00:00Z"/>
  <w16cex:commentExtensible w16cex:durableId="25B9FF94" w16cex:dateUtc="2022-02-18T10:20:00Z"/>
  <w16cex:commentExtensible w16cex:durableId="25B9F74A" w16cex:dateUtc="2022-02-18T09:06:00Z"/>
  <w16cex:commentExtensible w16cex:durableId="25B9FFF8" w16cex:dateUtc="2022-02-18T10:22:00Z"/>
  <w16cex:commentExtensible w16cex:durableId="25B9F74B" w16cex:dateUtc="2022-02-18T09:10:00Z"/>
  <w16cex:commentExtensible w16cex:durableId="25B9F74C" w16cex:dateUtc="2022-02-18T09:22:00Z"/>
  <w16cex:commentExtensible w16cex:durableId="25BA009E" w16cex:dateUtc="2022-02-18T10:25:00Z"/>
  <w16cex:commentExtensible w16cex:durableId="25BA0A9A" w16cex:dateUtc="2022-02-18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82ADB" w16cid:durableId="25B9F747"/>
  <w16cid:commentId w16cid:paraId="7DEDDE1F" w16cid:durableId="25B9F748"/>
  <w16cid:commentId w16cid:paraId="7F6F7358" w16cid:durableId="25B9FEAA"/>
  <w16cid:commentId w16cid:paraId="64E00F47" w16cid:durableId="25B9FEF7"/>
  <w16cid:commentId w16cid:paraId="3989A5BB" w16cid:durableId="25B9F749"/>
  <w16cid:commentId w16cid:paraId="7C69D1DC" w16cid:durableId="25B9FF94"/>
  <w16cid:commentId w16cid:paraId="64C7DFEC" w16cid:durableId="25B9F74A"/>
  <w16cid:commentId w16cid:paraId="6A42EF8B" w16cid:durableId="25B9FFF8"/>
  <w16cid:commentId w16cid:paraId="698AF79D" w16cid:durableId="25B9F74B"/>
  <w16cid:commentId w16cid:paraId="2F5A9978" w16cid:durableId="25B9F74C"/>
  <w16cid:commentId w16cid:paraId="1D19E1FA" w16cid:durableId="25BA009E"/>
  <w16cid:commentId w16cid:paraId="2F320427" w16cid:durableId="25BA0A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E3B7A" w14:textId="77777777" w:rsidR="005C6B69" w:rsidRDefault="005C6B69" w:rsidP="00A13CB4">
      <w:pPr>
        <w:spacing w:after="0" w:line="240" w:lineRule="auto"/>
      </w:pPr>
      <w:r>
        <w:separator/>
      </w:r>
    </w:p>
  </w:endnote>
  <w:endnote w:type="continuationSeparator" w:id="0">
    <w:p w14:paraId="76858A9F" w14:textId="77777777" w:rsidR="005C6B69" w:rsidRDefault="005C6B69" w:rsidP="00A1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loOT-Medi">
    <w:altName w:val="Calibri"/>
    <w:panose1 w:val="020B0604030101020102"/>
    <w:charset w:val="00"/>
    <w:family w:val="swiss"/>
    <w:notTrueType/>
    <w:pitch w:val="variable"/>
    <w:sig w:usb0="800000EF" w:usb1="4000205B"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9471" w14:textId="77777777" w:rsidR="005C6B69" w:rsidRDefault="005C6B69" w:rsidP="00A13CB4">
      <w:pPr>
        <w:spacing w:after="0" w:line="240" w:lineRule="auto"/>
      </w:pPr>
      <w:r>
        <w:separator/>
      </w:r>
    </w:p>
  </w:footnote>
  <w:footnote w:type="continuationSeparator" w:id="0">
    <w:p w14:paraId="420FB66F" w14:textId="77777777" w:rsidR="005C6B69" w:rsidRDefault="005C6B69" w:rsidP="00A13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B7C4" w14:textId="4F64589A" w:rsidR="00833A6D" w:rsidRDefault="0047274B">
    <w:pPr>
      <w:pStyle w:val="Kopfzeile"/>
    </w:pPr>
    <w:r>
      <w:fldChar w:fldCharType="begin"/>
    </w:r>
    <w:r>
      <w:instrText xml:space="preserve"> PAGE   \* MERGEFORMAT </w:instrText>
    </w:r>
    <w:r>
      <w:fldChar w:fldCharType="separate"/>
    </w:r>
    <w:r w:rsidR="00A767A2">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724CF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C552E00"/>
    <w:multiLevelType w:val="hybridMultilevel"/>
    <w:tmpl w:val="FF1A52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6B"/>
    <w:rsid w:val="00003A97"/>
    <w:rsid w:val="00005E43"/>
    <w:rsid w:val="000159F5"/>
    <w:rsid w:val="00025F96"/>
    <w:rsid w:val="00035998"/>
    <w:rsid w:val="000363CC"/>
    <w:rsid w:val="0005541D"/>
    <w:rsid w:val="000608B6"/>
    <w:rsid w:val="00060BB8"/>
    <w:rsid w:val="00070358"/>
    <w:rsid w:val="00070D0D"/>
    <w:rsid w:val="00074221"/>
    <w:rsid w:val="00076A3E"/>
    <w:rsid w:val="000827B6"/>
    <w:rsid w:val="000860C9"/>
    <w:rsid w:val="000879F4"/>
    <w:rsid w:val="00091E4E"/>
    <w:rsid w:val="000A3936"/>
    <w:rsid w:val="000A79E6"/>
    <w:rsid w:val="000B5E15"/>
    <w:rsid w:val="000C37BD"/>
    <w:rsid w:val="000C41CF"/>
    <w:rsid w:val="00100153"/>
    <w:rsid w:val="00105ECE"/>
    <w:rsid w:val="00110407"/>
    <w:rsid w:val="00110749"/>
    <w:rsid w:val="001126E8"/>
    <w:rsid w:val="00115DCB"/>
    <w:rsid w:val="00117D67"/>
    <w:rsid w:val="001333BA"/>
    <w:rsid w:val="001458A9"/>
    <w:rsid w:val="00146C6A"/>
    <w:rsid w:val="00146EC9"/>
    <w:rsid w:val="00150363"/>
    <w:rsid w:val="00154BBA"/>
    <w:rsid w:val="00156637"/>
    <w:rsid w:val="00162F87"/>
    <w:rsid w:val="00163792"/>
    <w:rsid w:val="0017216A"/>
    <w:rsid w:val="00183BDE"/>
    <w:rsid w:val="00186018"/>
    <w:rsid w:val="001B0CF8"/>
    <w:rsid w:val="001B24A5"/>
    <w:rsid w:val="001B3033"/>
    <w:rsid w:val="001B5F1E"/>
    <w:rsid w:val="001C16CE"/>
    <w:rsid w:val="001D6FA6"/>
    <w:rsid w:val="001E435A"/>
    <w:rsid w:val="001F5AE4"/>
    <w:rsid w:val="002007FD"/>
    <w:rsid w:val="00202EB3"/>
    <w:rsid w:val="0020420F"/>
    <w:rsid w:val="0020558E"/>
    <w:rsid w:val="002124F0"/>
    <w:rsid w:val="00231A66"/>
    <w:rsid w:val="002425EC"/>
    <w:rsid w:val="00265438"/>
    <w:rsid w:val="0027333A"/>
    <w:rsid w:val="002739B1"/>
    <w:rsid w:val="00277A26"/>
    <w:rsid w:val="00280D97"/>
    <w:rsid w:val="00287874"/>
    <w:rsid w:val="002922B7"/>
    <w:rsid w:val="00292F06"/>
    <w:rsid w:val="00295CAD"/>
    <w:rsid w:val="002A1CB9"/>
    <w:rsid w:val="002A5A25"/>
    <w:rsid w:val="002A790D"/>
    <w:rsid w:val="002B6F42"/>
    <w:rsid w:val="002C7C87"/>
    <w:rsid w:val="002D4873"/>
    <w:rsid w:val="002E6E94"/>
    <w:rsid w:val="00306F1A"/>
    <w:rsid w:val="00307F4F"/>
    <w:rsid w:val="00317B46"/>
    <w:rsid w:val="003220F0"/>
    <w:rsid w:val="00322222"/>
    <w:rsid w:val="0032393B"/>
    <w:rsid w:val="003243A0"/>
    <w:rsid w:val="00330D8D"/>
    <w:rsid w:val="0033261C"/>
    <w:rsid w:val="00351508"/>
    <w:rsid w:val="0035241D"/>
    <w:rsid w:val="00356FBC"/>
    <w:rsid w:val="00360D97"/>
    <w:rsid w:val="00361EC8"/>
    <w:rsid w:val="00364BCF"/>
    <w:rsid w:val="003704F2"/>
    <w:rsid w:val="0037292C"/>
    <w:rsid w:val="00374A68"/>
    <w:rsid w:val="003805CD"/>
    <w:rsid w:val="00381446"/>
    <w:rsid w:val="00397265"/>
    <w:rsid w:val="003B2BAA"/>
    <w:rsid w:val="003B7101"/>
    <w:rsid w:val="003D3EE7"/>
    <w:rsid w:val="003D3FE6"/>
    <w:rsid w:val="003D7284"/>
    <w:rsid w:val="003F2FF8"/>
    <w:rsid w:val="003F3B83"/>
    <w:rsid w:val="003F5375"/>
    <w:rsid w:val="004123F7"/>
    <w:rsid w:val="00420097"/>
    <w:rsid w:val="00421998"/>
    <w:rsid w:val="004353AC"/>
    <w:rsid w:val="00437017"/>
    <w:rsid w:val="004429A5"/>
    <w:rsid w:val="004531AF"/>
    <w:rsid w:val="00457EAC"/>
    <w:rsid w:val="0047274B"/>
    <w:rsid w:val="00473D77"/>
    <w:rsid w:val="004A3D6E"/>
    <w:rsid w:val="004A4000"/>
    <w:rsid w:val="004A7E16"/>
    <w:rsid w:val="004B0BBD"/>
    <w:rsid w:val="004B10BC"/>
    <w:rsid w:val="004B341C"/>
    <w:rsid w:val="004D5864"/>
    <w:rsid w:val="004E3FA2"/>
    <w:rsid w:val="004E754F"/>
    <w:rsid w:val="00503B47"/>
    <w:rsid w:val="00503D16"/>
    <w:rsid w:val="005154FE"/>
    <w:rsid w:val="005443DB"/>
    <w:rsid w:val="005476A3"/>
    <w:rsid w:val="0055140A"/>
    <w:rsid w:val="005514F9"/>
    <w:rsid w:val="00555345"/>
    <w:rsid w:val="00574435"/>
    <w:rsid w:val="00582968"/>
    <w:rsid w:val="00585693"/>
    <w:rsid w:val="0059324E"/>
    <w:rsid w:val="005979E2"/>
    <w:rsid w:val="005A4F09"/>
    <w:rsid w:val="005B0312"/>
    <w:rsid w:val="005B3F43"/>
    <w:rsid w:val="005B5E04"/>
    <w:rsid w:val="005B6442"/>
    <w:rsid w:val="005C0B1D"/>
    <w:rsid w:val="005C6B69"/>
    <w:rsid w:val="005D365F"/>
    <w:rsid w:val="005D5C25"/>
    <w:rsid w:val="005F1A63"/>
    <w:rsid w:val="005F2A08"/>
    <w:rsid w:val="00611812"/>
    <w:rsid w:val="0061182D"/>
    <w:rsid w:val="00615659"/>
    <w:rsid w:val="00624C93"/>
    <w:rsid w:val="00625D26"/>
    <w:rsid w:val="00631F37"/>
    <w:rsid w:val="00633966"/>
    <w:rsid w:val="00642075"/>
    <w:rsid w:val="00651A46"/>
    <w:rsid w:val="006540C1"/>
    <w:rsid w:val="00654560"/>
    <w:rsid w:val="006650CA"/>
    <w:rsid w:val="006673F9"/>
    <w:rsid w:val="00671120"/>
    <w:rsid w:val="006872C8"/>
    <w:rsid w:val="00691451"/>
    <w:rsid w:val="006B0294"/>
    <w:rsid w:val="006C1C25"/>
    <w:rsid w:val="006D1EF3"/>
    <w:rsid w:val="006D251F"/>
    <w:rsid w:val="006D4CF4"/>
    <w:rsid w:val="006D60CC"/>
    <w:rsid w:val="006F2227"/>
    <w:rsid w:val="00700186"/>
    <w:rsid w:val="00704A82"/>
    <w:rsid w:val="007060D9"/>
    <w:rsid w:val="00713CA4"/>
    <w:rsid w:val="0074050A"/>
    <w:rsid w:val="0074198D"/>
    <w:rsid w:val="007448B8"/>
    <w:rsid w:val="00744AAF"/>
    <w:rsid w:val="007647D9"/>
    <w:rsid w:val="00766E6F"/>
    <w:rsid w:val="007704B3"/>
    <w:rsid w:val="007704FC"/>
    <w:rsid w:val="007901C4"/>
    <w:rsid w:val="00793E28"/>
    <w:rsid w:val="007A2C49"/>
    <w:rsid w:val="007A7580"/>
    <w:rsid w:val="007A7E86"/>
    <w:rsid w:val="007C4EA0"/>
    <w:rsid w:val="007E6A62"/>
    <w:rsid w:val="00801CA9"/>
    <w:rsid w:val="008072BC"/>
    <w:rsid w:val="008115D1"/>
    <w:rsid w:val="00813825"/>
    <w:rsid w:val="00815725"/>
    <w:rsid w:val="00817C39"/>
    <w:rsid w:val="008232AE"/>
    <w:rsid w:val="00824C8A"/>
    <w:rsid w:val="0082579E"/>
    <w:rsid w:val="00832725"/>
    <w:rsid w:val="00833A6D"/>
    <w:rsid w:val="00836EB9"/>
    <w:rsid w:val="00843D8C"/>
    <w:rsid w:val="0084436D"/>
    <w:rsid w:val="0085654B"/>
    <w:rsid w:val="00861A9D"/>
    <w:rsid w:val="00871EFE"/>
    <w:rsid w:val="00873F3C"/>
    <w:rsid w:val="0087625D"/>
    <w:rsid w:val="0088058F"/>
    <w:rsid w:val="008845B0"/>
    <w:rsid w:val="008A15CF"/>
    <w:rsid w:val="008A362B"/>
    <w:rsid w:val="008A375F"/>
    <w:rsid w:val="008A3A1C"/>
    <w:rsid w:val="008B773A"/>
    <w:rsid w:val="008D34A2"/>
    <w:rsid w:val="008D46E8"/>
    <w:rsid w:val="008E3F6C"/>
    <w:rsid w:val="008F13A7"/>
    <w:rsid w:val="008F2606"/>
    <w:rsid w:val="008F79BC"/>
    <w:rsid w:val="009129EF"/>
    <w:rsid w:val="0092441C"/>
    <w:rsid w:val="00926254"/>
    <w:rsid w:val="00931457"/>
    <w:rsid w:val="00944881"/>
    <w:rsid w:val="00964453"/>
    <w:rsid w:val="0096792E"/>
    <w:rsid w:val="0097406A"/>
    <w:rsid w:val="0098187A"/>
    <w:rsid w:val="009847CB"/>
    <w:rsid w:val="009A1F1A"/>
    <w:rsid w:val="009B7254"/>
    <w:rsid w:val="009C13DB"/>
    <w:rsid w:val="009C3978"/>
    <w:rsid w:val="009C4A55"/>
    <w:rsid w:val="009C4F1D"/>
    <w:rsid w:val="009C5BAF"/>
    <w:rsid w:val="009D53AB"/>
    <w:rsid w:val="009F74F3"/>
    <w:rsid w:val="00A0083F"/>
    <w:rsid w:val="00A07E95"/>
    <w:rsid w:val="00A12439"/>
    <w:rsid w:val="00A13CB4"/>
    <w:rsid w:val="00A152C6"/>
    <w:rsid w:val="00A23DA0"/>
    <w:rsid w:val="00A241AA"/>
    <w:rsid w:val="00A34ECE"/>
    <w:rsid w:val="00A536A4"/>
    <w:rsid w:val="00A54307"/>
    <w:rsid w:val="00A557EC"/>
    <w:rsid w:val="00A60A48"/>
    <w:rsid w:val="00A63E8C"/>
    <w:rsid w:val="00A64200"/>
    <w:rsid w:val="00A767A2"/>
    <w:rsid w:val="00A81EF9"/>
    <w:rsid w:val="00A84712"/>
    <w:rsid w:val="00A866EF"/>
    <w:rsid w:val="00A91453"/>
    <w:rsid w:val="00A93AC6"/>
    <w:rsid w:val="00AA4600"/>
    <w:rsid w:val="00AB1BC4"/>
    <w:rsid w:val="00AC5E69"/>
    <w:rsid w:val="00AC6D68"/>
    <w:rsid w:val="00AE2F68"/>
    <w:rsid w:val="00B21945"/>
    <w:rsid w:val="00B30AF8"/>
    <w:rsid w:val="00B34B9A"/>
    <w:rsid w:val="00B426D0"/>
    <w:rsid w:val="00B65E08"/>
    <w:rsid w:val="00B70A90"/>
    <w:rsid w:val="00B739D4"/>
    <w:rsid w:val="00B84F47"/>
    <w:rsid w:val="00B85762"/>
    <w:rsid w:val="00B871CC"/>
    <w:rsid w:val="00B93CDD"/>
    <w:rsid w:val="00BA641C"/>
    <w:rsid w:val="00BB14B4"/>
    <w:rsid w:val="00BB2354"/>
    <w:rsid w:val="00BC3493"/>
    <w:rsid w:val="00BC6326"/>
    <w:rsid w:val="00BD3763"/>
    <w:rsid w:val="00BE2BD4"/>
    <w:rsid w:val="00BE4724"/>
    <w:rsid w:val="00C01FB7"/>
    <w:rsid w:val="00C02EF3"/>
    <w:rsid w:val="00C3032A"/>
    <w:rsid w:val="00C321BF"/>
    <w:rsid w:val="00C32CEE"/>
    <w:rsid w:val="00C335F3"/>
    <w:rsid w:val="00C505DF"/>
    <w:rsid w:val="00C530C7"/>
    <w:rsid w:val="00C53B6B"/>
    <w:rsid w:val="00C54BBE"/>
    <w:rsid w:val="00C622C5"/>
    <w:rsid w:val="00C65348"/>
    <w:rsid w:val="00C8103F"/>
    <w:rsid w:val="00C956D7"/>
    <w:rsid w:val="00C95717"/>
    <w:rsid w:val="00CA6674"/>
    <w:rsid w:val="00CD3266"/>
    <w:rsid w:val="00CD7C0D"/>
    <w:rsid w:val="00CE20CB"/>
    <w:rsid w:val="00CE6DFE"/>
    <w:rsid w:val="00CF1739"/>
    <w:rsid w:val="00CF6537"/>
    <w:rsid w:val="00D00846"/>
    <w:rsid w:val="00D313F3"/>
    <w:rsid w:val="00D33AD9"/>
    <w:rsid w:val="00D33F96"/>
    <w:rsid w:val="00D36862"/>
    <w:rsid w:val="00D51892"/>
    <w:rsid w:val="00D63628"/>
    <w:rsid w:val="00D700CD"/>
    <w:rsid w:val="00D70A21"/>
    <w:rsid w:val="00D74470"/>
    <w:rsid w:val="00D76E29"/>
    <w:rsid w:val="00D81468"/>
    <w:rsid w:val="00D8642A"/>
    <w:rsid w:val="00D87B63"/>
    <w:rsid w:val="00DA1569"/>
    <w:rsid w:val="00DA1DDC"/>
    <w:rsid w:val="00DC202C"/>
    <w:rsid w:val="00DC37F2"/>
    <w:rsid w:val="00DD11AA"/>
    <w:rsid w:val="00DD6207"/>
    <w:rsid w:val="00DE0F0B"/>
    <w:rsid w:val="00E029DF"/>
    <w:rsid w:val="00E05565"/>
    <w:rsid w:val="00E3203E"/>
    <w:rsid w:val="00E4163C"/>
    <w:rsid w:val="00E46E5B"/>
    <w:rsid w:val="00E47E27"/>
    <w:rsid w:val="00E50D1B"/>
    <w:rsid w:val="00E53208"/>
    <w:rsid w:val="00E535D4"/>
    <w:rsid w:val="00E60231"/>
    <w:rsid w:val="00E613C1"/>
    <w:rsid w:val="00E6269D"/>
    <w:rsid w:val="00E64D60"/>
    <w:rsid w:val="00E87274"/>
    <w:rsid w:val="00EA0395"/>
    <w:rsid w:val="00EA5991"/>
    <w:rsid w:val="00EB6FD5"/>
    <w:rsid w:val="00ED2033"/>
    <w:rsid w:val="00ED7139"/>
    <w:rsid w:val="00EE0FC4"/>
    <w:rsid w:val="00EE3327"/>
    <w:rsid w:val="00F16135"/>
    <w:rsid w:val="00F175A3"/>
    <w:rsid w:val="00F271C7"/>
    <w:rsid w:val="00F459B2"/>
    <w:rsid w:val="00F513A0"/>
    <w:rsid w:val="00F735A8"/>
    <w:rsid w:val="00F86041"/>
    <w:rsid w:val="00F870F8"/>
    <w:rsid w:val="00FA6DF5"/>
    <w:rsid w:val="00FB303A"/>
    <w:rsid w:val="00FB3BF3"/>
    <w:rsid w:val="00FC1FAF"/>
    <w:rsid w:val="00FD272E"/>
    <w:rsid w:val="00FE2D65"/>
    <w:rsid w:val="00FF4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4FB5"/>
  <w15:docId w15:val="{63A59E75-0F56-4A1F-AB3B-785DA48A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71CC"/>
  </w:style>
  <w:style w:type="paragraph" w:styleId="berschrift1">
    <w:name w:val="heading 1"/>
    <w:basedOn w:val="Standard"/>
    <w:next w:val="Standard"/>
    <w:link w:val="berschrift1Zchn"/>
    <w:uiPriority w:val="9"/>
    <w:qFormat/>
    <w:rsid w:val="00BD37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D37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D37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3B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B6B"/>
    <w:rPr>
      <w:rFonts w:ascii="Tahoma" w:hAnsi="Tahoma" w:cs="Tahoma"/>
      <w:sz w:val="16"/>
      <w:szCs w:val="16"/>
    </w:rPr>
  </w:style>
  <w:style w:type="character" w:styleId="Hyperlink">
    <w:name w:val="Hyperlink"/>
    <w:basedOn w:val="Absatz-Standardschriftart"/>
    <w:uiPriority w:val="99"/>
    <w:unhideWhenUsed/>
    <w:rsid w:val="00C53B6B"/>
    <w:rPr>
      <w:color w:val="0000FF" w:themeColor="hyperlink"/>
      <w:u w:val="single"/>
    </w:rPr>
  </w:style>
  <w:style w:type="paragraph" w:styleId="Kopfzeile">
    <w:name w:val="header"/>
    <w:basedOn w:val="Standard"/>
    <w:link w:val="KopfzeileZchn"/>
    <w:unhideWhenUsed/>
    <w:rsid w:val="00A13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CB4"/>
  </w:style>
  <w:style w:type="paragraph" w:styleId="Fuzeile">
    <w:name w:val="footer"/>
    <w:basedOn w:val="Standard"/>
    <w:link w:val="FuzeileZchn"/>
    <w:uiPriority w:val="99"/>
    <w:semiHidden/>
    <w:unhideWhenUsed/>
    <w:rsid w:val="00A13CB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13CB4"/>
  </w:style>
  <w:style w:type="character" w:customStyle="1" w:styleId="berschrift1Zchn">
    <w:name w:val="Überschrift 1 Zchn"/>
    <w:basedOn w:val="Absatz-Standardschriftart"/>
    <w:link w:val="berschrift1"/>
    <w:uiPriority w:val="9"/>
    <w:rsid w:val="00BD3763"/>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D3763"/>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BD3763"/>
    <w:rPr>
      <w:rFonts w:asciiTheme="majorHAnsi" w:eastAsiaTheme="majorEastAsia" w:hAnsiTheme="majorHAnsi" w:cstheme="majorBidi"/>
      <w:color w:val="243F60" w:themeColor="accent1" w:themeShade="7F"/>
      <w:sz w:val="24"/>
      <w:szCs w:val="24"/>
    </w:rPr>
  </w:style>
  <w:style w:type="paragraph" w:styleId="Datum">
    <w:name w:val="Date"/>
    <w:basedOn w:val="Standard"/>
    <w:next w:val="Standard"/>
    <w:link w:val="DatumZchn"/>
    <w:uiPriority w:val="99"/>
    <w:unhideWhenUsed/>
    <w:rsid w:val="00BD3763"/>
  </w:style>
  <w:style w:type="character" w:customStyle="1" w:styleId="DatumZchn">
    <w:name w:val="Datum Zchn"/>
    <w:basedOn w:val="Absatz-Standardschriftart"/>
    <w:link w:val="Datum"/>
    <w:uiPriority w:val="99"/>
    <w:rsid w:val="00BD3763"/>
  </w:style>
  <w:style w:type="paragraph" w:styleId="Aufzhlungszeichen">
    <w:name w:val="List Bullet"/>
    <w:basedOn w:val="Standard"/>
    <w:uiPriority w:val="99"/>
    <w:unhideWhenUsed/>
    <w:rsid w:val="00BD3763"/>
    <w:pPr>
      <w:numPr>
        <w:numId w:val="2"/>
      </w:numPr>
      <w:contextualSpacing/>
    </w:pPr>
  </w:style>
  <w:style w:type="paragraph" w:styleId="Textkrper">
    <w:name w:val="Body Text"/>
    <w:basedOn w:val="Standard"/>
    <w:link w:val="TextkrperZchn"/>
    <w:uiPriority w:val="99"/>
    <w:unhideWhenUsed/>
    <w:rsid w:val="00BD3763"/>
    <w:pPr>
      <w:spacing w:after="120"/>
    </w:pPr>
  </w:style>
  <w:style w:type="character" w:customStyle="1" w:styleId="TextkrperZchn">
    <w:name w:val="Textkörper Zchn"/>
    <w:basedOn w:val="Absatz-Standardschriftart"/>
    <w:link w:val="Textkrper"/>
    <w:uiPriority w:val="99"/>
    <w:rsid w:val="00BD3763"/>
  </w:style>
  <w:style w:type="paragraph" w:customStyle="1" w:styleId="Betreffzeile">
    <w:name w:val="Betreffzeile"/>
    <w:basedOn w:val="Standard"/>
    <w:rsid w:val="00BD3763"/>
  </w:style>
  <w:style w:type="character" w:styleId="Kommentarzeichen">
    <w:name w:val="annotation reference"/>
    <w:basedOn w:val="Absatz-Standardschriftart"/>
    <w:uiPriority w:val="99"/>
    <w:semiHidden/>
    <w:unhideWhenUsed/>
    <w:rsid w:val="00473D77"/>
    <w:rPr>
      <w:sz w:val="16"/>
      <w:szCs w:val="16"/>
    </w:rPr>
  </w:style>
  <w:style w:type="paragraph" w:styleId="Kommentartext">
    <w:name w:val="annotation text"/>
    <w:basedOn w:val="Standard"/>
    <w:link w:val="KommentartextZchn"/>
    <w:uiPriority w:val="99"/>
    <w:semiHidden/>
    <w:unhideWhenUsed/>
    <w:rsid w:val="00473D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D77"/>
    <w:rPr>
      <w:sz w:val="20"/>
      <w:szCs w:val="20"/>
    </w:rPr>
  </w:style>
  <w:style w:type="paragraph" w:styleId="Kommentarthema">
    <w:name w:val="annotation subject"/>
    <w:basedOn w:val="Kommentartext"/>
    <w:next w:val="Kommentartext"/>
    <w:link w:val="KommentarthemaZchn"/>
    <w:uiPriority w:val="99"/>
    <w:semiHidden/>
    <w:unhideWhenUsed/>
    <w:rsid w:val="00473D77"/>
    <w:rPr>
      <w:b/>
      <w:bCs/>
    </w:rPr>
  </w:style>
  <w:style w:type="character" w:customStyle="1" w:styleId="KommentarthemaZchn">
    <w:name w:val="Kommentarthema Zchn"/>
    <w:basedOn w:val="KommentartextZchn"/>
    <w:link w:val="Kommentarthema"/>
    <w:uiPriority w:val="99"/>
    <w:semiHidden/>
    <w:rsid w:val="00473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4705">
      <w:bodyDiv w:val="1"/>
      <w:marLeft w:val="0"/>
      <w:marRight w:val="0"/>
      <w:marTop w:val="0"/>
      <w:marBottom w:val="0"/>
      <w:divBdr>
        <w:top w:val="none" w:sz="0" w:space="0" w:color="auto"/>
        <w:left w:val="none" w:sz="0" w:space="0" w:color="auto"/>
        <w:bottom w:val="none" w:sz="0" w:space="0" w:color="auto"/>
        <w:right w:val="none" w:sz="0" w:space="0" w:color="auto"/>
      </w:divBdr>
    </w:div>
    <w:div w:id="168100684">
      <w:bodyDiv w:val="1"/>
      <w:marLeft w:val="0"/>
      <w:marRight w:val="0"/>
      <w:marTop w:val="0"/>
      <w:marBottom w:val="0"/>
      <w:divBdr>
        <w:top w:val="none" w:sz="0" w:space="0" w:color="auto"/>
        <w:left w:val="none" w:sz="0" w:space="0" w:color="auto"/>
        <w:bottom w:val="none" w:sz="0" w:space="0" w:color="auto"/>
        <w:right w:val="none" w:sz="0" w:space="0" w:color="auto"/>
      </w:divBdr>
    </w:div>
    <w:div w:id="246767246">
      <w:bodyDiv w:val="1"/>
      <w:marLeft w:val="0"/>
      <w:marRight w:val="0"/>
      <w:marTop w:val="0"/>
      <w:marBottom w:val="0"/>
      <w:divBdr>
        <w:top w:val="none" w:sz="0" w:space="0" w:color="auto"/>
        <w:left w:val="none" w:sz="0" w:space="0" w:color="auto"/>
        <w:bottom w:val="none" w:sz="0" w:space="0" w:color="auto"/>
        <w:right w:val="none" w:sz="0" w:space="0" w:color="auto"/>
      </w:divBdr>
    </w:div>
    <w:div w:id="309941975">
      <w:bodyDiv w:val="1"/>
      <w:marLeft w:val="0"/>
      <w:marRight w:val="0"/>
      <w:marTop w:val="0"/>
      <w:marBottom w:val="0"/>
      <w:divBdr>
        <w:top w:val="none" w:sz="0" w:space="0" w:color="auto"/>
        <w:left w:val="none" w:sz="0" w:space="0" w:color="auto"/>
        <w:bottom w:val="none" w:sz="0" w:space="0" w:color="auto"/>
        <w:right w:val="none" w:sz="0" w:space="0" w:color="auto"/>
      </w:divBdr>
    </w:div>
    <w:div w:id="355543437">
      <w:bodyDiv w:val="1"/>
      <w:marLeft w:val="0"/>
      <w:marRight w:val="0"/>
      <w:marTop w:val="0"/>
      <w:marBottom w:val="0"/>
      <w:divBdr>
        <w:top w:val="none" w:sz="0" w:space="0" w:color="auto"/>
        <w:left w:val="none" w:sz="0" w:space="0" w:color="auto"/>
        <w:bottom w:val="none" w:sz="0" w:space="0" w:color="auto"/>
        <w:right w:val="none" w:sz="0" w:space="0" w:color="auto"/>
      </w:divBdr>
    </w:div>
    <w:div w:id="489567639">
      <w:bodyDiv w:val="1"/>
      <w:marLeft w:val="0"/>
      <w:marRight w:val="0"/>
      <w:marTop w:val="0"/>
      <w:marBottom w:val="0"/>
      <w:divBdr>
        <w:top w:val="none" w:sz="0" w:space="0" w:color="auto"/>
        <w:left w:val="none" w:sz="0" w:space="0" w:color="auto"/>
        <w:bottom w:val="none" w:sz="0" w:space="0" w:color="auto"/>
        <w:right w:val="none" w:sz="0" w:space="0" w:color="auto"/>
      </w:divBdr>
    </w:div>
    <w:div w:id="554318102">
      <w:bodyDiv w:val="1"/>
      <w:marLeft w:val="0"/>
      <w:marRight w:val="0"/>
      <w:marTop w:val="0"/>
      <w:marBottom w:val="0"/>
      <w:divBdr>
        <w:top w:val="none" w:sz="0" w:space="0" w:color="auto"/>
        <w:left w:val="none" w:sz="0" w:space="0" w:color="auto"/>
        <w:bottom w:val="none" w:sz="0" w:space="0" w:color="auto"/>
        <w:right w:val="none" w:sz="0" w:space="0" w:color="auto"/>
      </w:divBdr>
    </w:div>
    <w:div w:id="608509235">
      <w:bodyDiv w:val="1"/>
      <w:marLeft w:val="0"/>
      <w:marRight w:val="0"/>
      <w:marTop w:val="0"/>
      <w:marBottom w:val="0"/>
      <w:divBdr>
        <w:top w:val="none" w:sz="0" w:space="0" w:color="auto"/>
        <w:left w:val="none" w:sz="0" w:space="0" w:color="auto"/>
        <w:bottom w:val="none" w:sz="0" w:space="0" w:color="auto"/>
        <w:right w:val="none" w:sz="0" w:space="0" w:color="auto"/>
      </w:divBdr>
    </w:div>
    <w:div w:id="647705950">
      <w:bodyDiv w:val="1"/>
      <w:marLeft w:val="0"/>
      <w:marRight w:val="0"/>
      <w:marTop w:val="0"/>
      <w:marBottom w:val="0"/>
      <w:divBdr>
        <w:top w:val="none" w:sz="0" w:space="0" w:color="auto"/>
        <w:left w:val="none" w:sz="0" w:space="0" w:color="auto"/>
        <w:bottom w:val="none" w:sz="0" w:space="0" w:color="auto"/>
        <w:right w:val="none" w:sz="0" w:space="0" w:color="auto"/>
      </w:divBdr>
    </w:div>
    <w:div w:id="714084946">
      <w:bodyDiv w:val="1"/>
      <w:marLeft w:val="0"/>
      <w:marRight w:val="0"/>
      <w:marTop w:val="0"/>
      <w:marBottom w:val="0"/>
      <w:divBdr>
        <w:top w:val="none" w:sz="0" w:space="0" w:color="auto"/>
        <w:left w:val="none" w:sz="0" w:space="0" w:color="auto"/>
        <w:bottom w:val="none" w:sz="0" w:space="0" w:color="auto"/>
        <w:right w:val="none" w:sz="0" w:space="0" w:color="auto"/>
      </w:divBdr>
    </w:div>
    <w:div w:id="1116098256">
      <w:bodyDiv w:val="1"/>
      <w:marLeft w:val="0"/>
      <w:marRight w:val="0"/>
      <w:marTop w:val="0"/>
      <w:marBottom w:val="0"/>
      <w:divBdr>
        <w:top w:val="none" w:sz="0" w:space="0" w:color="auto"/>
        <w:left w:val="none" w:sz="0" w:space="0" w:color="auto"/>
        <w:bottom w:val="none" w:sz="0" w:space="0" w:color="auto"/>
        <w:right w:val="none" w:sz="0" w:space="0" w:color="auto"/>
      </w:divBdr>
    </w:div>
    <w:div w:id="1283536494">
      <w:bodyDiv w:val="1"/>
      <w:marLeft w:val="0"/>
      <w:marRight w:val="0"/>
      <w:marTop w:val="0"/>
      <w:marBottom w:val="0"/>
      <w:divBdr>
        <w:top w:val="none" w:sz="0" w:space="0" w:color="auto"/>
        <w:left w:val="none" w:sz="0" w:space="0" w:color="auto"/>
        <w:bottom w:val="none" w:sz="0" w:space="0" w:color="auto"/>
        <w:right w:val="none" w:sz="0" w:space="0" w:color="auto"/>
      </w:divBdr>
    </w:div>
    <w:div w:id="1290210007">
      <w:bodyDiv w:val="1"/>
      <w:marLeft w:val="0"/>
      <w:marRight w:val="0"/>
      <w:marTop w:val="0"/>
      <w:marBottom w:val="0"/>
      <w:divBdr>
        <w:top w:val="none" w:sz="0" w:space="0" w:color="auto"/>
        <w:left w:val="none" w:sz="0" w:space="0" w:color="auto"/>
        <w:bottom w:val="none" w:sz="0" w:space="0" w:color="auto"/>
        <w:right w:val="none" w:sz="0" w:space="0" w:color="auto"/>
      </w:divBdr>
    </w:div>
    <w:div w:id="1593933332">
      <w:bodyDiv w:val="1"/>
      <w:marLeft w:val="0"/>
      <w:marRight w:val="0"/>
      <w:marTop w:val="0"/>
      <w:marBottom w:val="0"/>
      <w:divBdr>
        <w:top w:val="none" w:sz="0" w:space="0" w:color="auto"/>
        <w:left w:val="none" w:sz="0" w:space="0" w:color="auto"/>
        <w:bottom w:val="none" w:sz="0" w:space="0" w:color="auto"/>
        <w:right w:val="none" w:sz="0" w:space="0" w:color="auto"/>
      </w:divBdr>
    </w:div>
    <w:div w:id="161620690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
    <w:div w:id="1990817498">
      <w:bodyDiv w:val="1"/>
      <w:marLeft w:val="0"/>
      <w:marRight w:val="0"/>
      <w:marTop w:val="0"/>
      <w:marBottom w:val="0"/>
      <w:divBdr>
        <w:top w:val="none" w:sz="0" w:space="0" w:color="auto"/>
        <w:left w:val="none" w:sz="0" w:space="0" w:color="auto"/>
        <w:bottom w:val="none" w:sz="0" w:space="0" w:color="auto"/>
        <w:right w:val="none" w:sz="0" w:space="0" w:color="auto"/>
      </w:divBdr>
    </w:div>
    <w:div w:id="2072847283">
      <w:bodyDiv w:val="1"/>
      <w:marLeft w:val="0"/>
      <w:marRight w:val="0"/>
      <w:marTop w:val="0"/>
      <w:marBottom w:val="0"/>
      <w:divBdr>
        <w:top w:val="none" w:sz="0" w:space="0" w:color="auto"/>
        <w:left w:val="none" w:sz="0" w:space="0" w:color="auto"/>
        <w:bottom w:val="none" w:sz="0" w:space="0" w:color="auto"/>
        <w:right w:val="none" w:sz="0" w:space="0" w:color="auto"/>
      </w:divBdr>
    </w:div>
    <w:div w:id="20972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DFD5-FF1A-4CC7-A5A9-7449C686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12254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Imke Ide</dc:creator>
  <cp:lastModifiedBy>Oliver Hagemann</cp:lastModifiedBy>
  <cp:revision>5</cp:revision>
  <cp:lastPrinted>2022-02-18T14:16:00Z</cp:lastPrinted>
  <dcterms:created xsi:type="dcterms:W3CDTF">2022-02-18T13:28:00Z</dcterms:created>
  <dcterms:modified xsi:type="dcterms:W3CDTF">2022-02-18T15:23:00Z</dcterms:modified>
</cp:coreProperties>
</file>